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6E3F27C3" w:rsidR="001B7CA2" w:rsidRPr="0002213A" w:rsidRDefault="00A42B89" w:rsidP="00B669A0">
      <w:pPr>
        <w:pBdr>
          <w:bottom w:val="single" w:sz="4" w:space="1" w:color="auto"/>
        </w:pBdr>
        <w:rPr>
          <w:b/>
          <w:bCs/>
          <w:lang w:val="en-GB"/>
        </w:rPr>
      </w:pPr>
      <w:r>
        <w:rPr>
          <w:b/>
          <w:lang w:val="en-AU"/>
        </w:rPr>
        <w:t>FINLAND</w:t>
      </w:r>
      <w:r w:rsidR="00D6657B" w:rsidRPr="0002213A">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4E024A29" w14:textId="70C6E29E" w:rsidR="001B7CA2" w:rsidRPr="001B7CA2" w:rsidRDefault="001B7CA2" w:rsidP="001B7CA2">
      <w:pPr>
        <w:rPr>
          <w:lang w:val="en-GB"/>
        </w:rPr>
      </w:pPr>
      <w:r w:rsidRPr="001B7CA2">
        <w:rPr>
          <w:b/>
          <w:bCs/>
          <w:i/>
          <w:iCs/>
          <w:lang w:val="en-GB"/>
        </w:rPr>
        <w:t xml:space="preserve">B. Quality of justice </w:t>
      </w:r>
    </w:p>
    <w:p w14:paraId="48E3E95A" w14:textId="3FDDD108" w:rsidR="001B7CA2" w:rsidRDefault="001B7CA2" w:rsidP="00FF5A3B">
      <w:pPr>
        <w:spacing w:line="240" w:lineRule="auto"/>
        <w:rPr>
          <w:iCs/>
          <w:lang w:val="en-GB"/>
        </w:rPr>
      </w:pPr>
      <w:r w:rsidRPr="001B7CA2">
        <w:rPr>
          <w:i/>
          <w:iCs/>
          <w:lang w:val="en-GB"/>
        </w:rPr>
        <w:t xml:space="preserve">11. Accessibility of courts (e.g. court fees, legal aid, language) </w:t>
      </w:r>
    </w:p>
    <w:p w14:paraId="1BE329E5" w14:textId="351CE679" w:rsidR="00754304" w:rsidRPr="00BB529D" w:rsidRDefault="00E44CD6" w:rsidP="00BB529D">
      <w:pPr>
        <w:spacing w:line="240" w:lineRule="auto"/>
        <w:jc w:val="both"/>
        <w:rPr>
          <w:lang w:val="en-US"/>
        </w:rPr>
      </w:pPr>
      <w:r>
        <w:rPr>
          <w:iCs/>
          <w:lang w:val="en-GB"/>
        </w:rPr>
        <w:t>In its 2021 concluding observations</w:t>
      </w:r>
      <w:r w:rsidR="000D7F40">
        <w:rPr>
          <w:iCs/>
          <w:lang w:val="en-GB"/>
        </w:rPr>
        <w:t>,</w:t>
      </w:r>
      <w:r>
        <w:rPr>
          <w:iCs/>
          <w:lang w:val="en-GB"/>
        </w:rPr>
        <w:t xml:space="preserve"> the UN Human Rights Committee </w:t>
      </w:r>
      <w:r w:rsidR="00754304" w:rsidRPr="005C140F">
        <w:rPr>
          <w:iCs/>
          <w:lang w:val="en-GB"/>
        </w:rPr>
        <w:t xml:space="preserve">welcomed </w:t>
      </w:r>
      <w:r w:rsidR="00754304" w:rsidRPr="00BB529D">
        <w:rPr>
          <w:color w:val="000000"/>
          <w:lang w:val="en-GB"/>
        </w:rPr>
        <w:t>the legislative proposal aimed at providing access to legal counsel during asylum interviews</w:t>
      </w:r>
      <w:r w:rsidR="001150AE">
        <w:rPr>
          <w:iCs/>
          <w:lang w:val="en-GB"/>
        </w:rPr>
        <w:t xml:space="preserve"> and </w:t>
      </w:r>
      <w:r>
        <w:rPr>
          <w:iCs/>
          <w:lang w:val="en-GB"/>
        </w:rPr>
        <w:t xml:space="preserve">recommended that Finland </w:t>
      </w:r>
      <w:r w:rsidRPr="008346F3">
        <w:rPr>
          <w:iCs/>
          <w:lang w:val="en-GB"/>
        </w:rPr>
        <w:t>continue its efforts to provide access to quality legal aid service for asylum seekers throughout the asylum process</w:t>
      </w:r>
      <w:r w:rsidR="00BB529D">
        <w:rPr>
          <w:iCs/>
          <w:lang w:val="en-GB"/>
        </w:rPr>
        <w:t xml:space="preserve">. </w:t>
      </w:r>
      <w:r w:rsidR="008346F3" w:rsidRPr="00BB529D">
        <w:rPr>
          <w:color w:val="000000"/>
          <w:lang w:val="en-US"/>
        </w:rPr>
        <w:t xml:space="preserve">The Committee also acknowledged </w:t>
      </w:r>
      <w:r w:rsidR="00BB529D" w:rsidRPr="00BB529D">
        <w:rPr>
          <w:color w:val="000000"/>
          <w:lang w:val="en-US"/>
        </w:rPr>
        <w:t xml:space="preserve">Finland’s </w:t>
      </w:r>
      <w:r w:rsidR="008346F3" w:rsidRPr="00BB529D">
        <w:rPr>
          <w:color w:val="000000"/>
          <w:lang w:val="en-US"/>
        </w:rPr>
        <w:t xml:space="preserve">efforts to combat violence against women, and noted with concern the low level of reporting and of prosecution and conviction of perpetrators of violence against women, and the charging of court fees for unsuccessful applications for restraining orders. The Committee asked Finland to </w:t>
      </w:r>
      <w:r w:rsidR="008346F3" w:rsidRPr="00BB529D">
        <w:rPr>
          <w:bCs/>
          <w:color w:val="000000"/>
          <w:lang w:val="en-US"/>
        </w:rPr>
        <w:t>consider eliminating the fees for unsuccessful applications of restraining orders</w:t>
      </w:r>
      <w:r w:rsidR="008346F3" w:rsidRPr="00BB529D">
        <w:rPr>
          <w:lang w:val="en-US"/>
        </w:rPr>
        <w:t>.</w:t>
      </w:r>
      <w:r w:rsidR="00BB529D" w:rsidRPr="00BB529D">
        <w:rPr>
          <w:lang w:val="en-US"/>
        </w:rPr>
        <w:t xml:space="preserve"> </w:t>
      </w:r>
      <w:r w:rsidR="00754304" w:rsidRPr="00BB529D">
        <w:rPr>
          <w:iCs/>
          <w:lang w:val="en-GB"/>
        </w:rPr>
        <w:t>The UN Human Rights Committee</w:t>
      </w:r>
      <w:r w:rsidR="001150AE">
        <w:rPr>
          <w:iCs/>
          <w:lang w:val="en-GB"/>
        </w:rPr>
        <w:t xml:space="preserve"> </w:t>
      </w:r>
      <w:r w:rsidR="00BB529D" w:rsidRPr="00BB529D">
        <w:rPr>
          <w:color w:val="000000"/>
          <w:lang w:val="en-US"/>
        </w:rPr>
        <w:t>regretted</w:t>
      </w:r>
      <w:r w:rsidR="00754304" w:rsidRPr="00BB529D">
        <w:rPr>
          <w:color w:val="000000"/>
          <w:lang w:val="en-US"/>
        </w:rPr>
        <w:t xml:space="preserve"> the insufficient progress achieved in ensuring access to effective legal remedies to challenge involuntary psychiatric hospitalization and treatment and recommended that </w:t>
      </w:r>
      <w:r w:rsidR="00754304" w:rsidRPr="00BB529D">
        <w:rPr>
          <w:bCs/>
          <w:color w:val="000000"/>
          <w:lang w:val="en-US"/>
        </w:rPr>
        <w:t>the procedures used for such hospitalization or treatment include initial and periodic judicial reviews and guarantees of an effective legal remedy</w:t>
      </w:r>
      <w:r w:rsidR="00BB529D">
        <w:rPr>
          <w:b/>
          <w:bCs/>
          <w:color w:val="000000"/>
          <w:lang w:val="en-US"/>
        </w:rPr>
        <w:t xml:space="preserve"> </w:t>
      </w:r>
      <w:r w:rsidR="00754304" w:rsidRPr="00754304">
        <w:rPr>
          <w:iCs/>
          <w:lang w:val="en-GB"/>
        </w:rPr>
        <w:t>(</w:t>
      </w:r>
      <w:hyperlink r:id="rId11" w:history="1">
        <w:r w:rsidR="00BB529D" w:rsidRPr="008346F3">
          <w:rPr>
            <w:rStyle w:val="Hyperlink"/>
            <w:lang w:val="en-US"/>
          </w:rPr>
          <w:t>CCPR/C/FIN/CO/7</w:t>
        </w:r>
      </w:hyperlink>
      <w:r w:rsidR="00754304" w:rsidRPr="00BB529D">
        <w:rPr>
          <w:lang w:val="en-US"/>
        </w:rPr>
        <w:t>, para</w:t>
      </w:r>
      <w:r w:rsidR="001150AE">
        <w:rPr>
          <w:lang w:val="en-US"/>
        </w:rPr>
        <w:t>s.</w:t>
      </w:r>
      <w:r w:rsidR="00BB529D">
        <w:rPr>
          <w:lang w:val="en-US"/>
        </w:rPr>
        <w:t xml:space="preserve"> 18, </w:t>
      </w:r>
      <w:r w:rsidR="00754304" w:rsidRPr="00BB529D">
        <w:rPr>
          <w:lang w:val="en-US"/>
        </w:rPr>
        <w:t>31</w:t>
      </w:r>
      <w:r w:rsidR="00BB529D">
        <w:rPr>
          <w:lang w:val="en-US"/>
        </w:rPr>
        <w:t xml:space="preserve"> -33</w:t>
      </w:r>
      <w:r w:rsidR="00754304" w:rsidRPr="00BB529D">
        <w:rPr>
          <w:lang w:val="en-US"/>
        </w:rPr>
        <w:t>).</w:t>
      </w:r>
    </w:p>
    <w:p w14:paraId="52103269" w14:textId="3FE00640" w:rsidR="000367AD" w:rsidRDefault="00694C36" w:rsidP="005844EA">
      <w:pPr>
        <w:widowControl w:val="0"/>
        <w:tabs>
          <w:tab w:val="left" w:pos="1216"/>
        </w:tabs>
        <w:autoSpaceDE w:val="0"/>
        <w:autoSpaceDN w:val="0"/>
        <w:spacing w:before="120" w:after="0" w:line="240" w:lineRule="auto"/>
        <w:rPr>
          <w:i/>
          <w:lang w:val="en-US"/>
        </w:rPr>
      </w:pPr>
      <w:r>
        <w:rPr>
          <w:i/>
          <w:lang w:val="en-US"/>
        </w:rPr>
        <w:t>13</w:t>
      </w:r>
      <w:proofErr w:type="gramStart"/>
      <w:r>
        <w:rPr>
          <w:i/>
          <w:lang w:val="en-US"/>
        </w:rPr>
        <w:t>.</w:t>
      </w:r>
      <w:r w:rsidRPr="00694C36">
        <w:rPr>
          <w:i/>
          <w:lang w:val="en-US"/>
        </w:rPr>
        <w:t>Training</w:t>
      </w:r>
      <w:proofErr w:type="gramEnd"/>
      <w:r w:rsidRPr="00694C36">
        <w:rPr>
          <w:i/>
          <w:lang w:val="en-US"/>
        </w:rPr>
        <w:t xml:space="preserve"> of justice professionals (including judges, prosecutors, lawyers, court</w:t>
      </w:r>
      <w:r w:rsidRPr="00694C36">
        <w:rPr>
          <w:i/>
          <w:spacing w:val="-15"/>
          <w:lang w:val="en-US"/>
        </w:rPr>
        <w:t xml:space="preserve"> </w:t>
      </w:r>
      <w:r w:rsidRPr="00694C36">
        <w:rPr>
          <w:i/>
          <w:lang w:val="en-US"/>
        </w:rPr>
        <w:t>staff)</w:t>
      </w:r>
    </w:p>
    <w:p w14:paraId="105C9773" w14:textId="77777777" w:rsidR="005844EA" w:rsidRPr="005844EA" w:rsidRDefault="005844EA" w:rsidP="005844EA">
      <w:pPr>
        <w:widowControl w:val="0"/>
        <w:tabs>
          <w:tab w:val="left" w:pos="1216"/>
        </w:tabs>
        <w:autoSpaceDE w:val="0"/>
        <w:autoSpaceDN w:val="0"/>
        <w:spacing w:before="120" w:after="0" w:line="240" w:lineRule="auto"/>
        <w:rPr>
          <w:i/>
          <w:lang w:val="en-US"/>
        </w:rPr>
      </w:pPr>
    </w:p>
    <w:p w14:paraId="16C15499" w14:textId="2A754CF3" w:rsidR="00754304" w:rsidRPr="004068D2" w:rsidRDefault="00754304" w:rsidP="00754304">
      <w:pPr>
        <w:jc w:val="both"/>
        <w:rPr>
          <w:rFonts w:cstheme="minorHAnsi"/>
          <w:iCs/>
          <w:lang w:val="en-GB"/>
        </w:rPr>
      </w:pPr>
      <w:r>
        <w:rPr>
          <w:lang w:val="en-US"/>
        </w:rPr>
        <w:t>In its 2021 concluding observations</w:t>
      </w:r>
      <w:r w:rsidR="008C3B50">
        <w:rPr>
          <w:lang w:val="en-US"/>
        </w:rPr>
        <w:t>,</w:t>
      </w:r>
      <w:r>
        <w:rPr>
          <w:lang w:val="en-US"/>
        </w:rPr>
        <w:t xml:space="preserve"> the UN Human Rights Committee </w:t>
      </w:r>
      <w:r w:rsidRPr="00887E4C">
        <w:rPr>
          <w:rFonts w:cstheme="minorHAnsi"/>
          <w:iCs/>
          <w:lang w:val="en-GB"/>
        </w:rPr>
        <w:t>recommended</w:t>
      </w:r>
      <w:r w:rsidR="00B6701F">
        <w:rPr>
          <w:rFonts w:cstheme="minorHAnsi"/>
          <w:iCs/>
          <w:lang w:val="en-GB"/>
        </w:rPr>
        <w:t xml:space="preserve"> that Finland </w:t>
      </w:r>
      <w:r w:rsidRPr="00863E0B">
        <w:rPr>
          <w:bCs/>
          <w:color w:val="000000"/>
          <w:lang w:val="en-GB"/>
        </w:rPr>
        <w:t xml:space="preserve">continue its efforts to inform and educate lawyers, prosecutors, judges, law enforcement officers and the public about the Covenant </w:t>
      </w:r>
      <w:r w:rsidR="00BB529D">
        <w:rPr>
          <w:bCs/>
          <w:color w:val="000000"/>
          <w:lang w:val="en-GB"/>
        </w:rPr>
        <w:t xml:space="preserve">on Civil and Political </w:t>
      </w:r>
      <w:r w:rsidRPr="00863E0B">
        <w:rPr>
          <w:bCs/>
          <w:color w:val="000000"/>
          <w:lang w:val="en-GB"/>
        </w:rPr>
        <w:t>and its Optional Protocol</w:t>
      </w:r>
      <w:r w:rsidR="00B6701F">
        <w:rPr>
          <w:bCs/>
          <w:color w:val="000000"/>
          <w:lang w:val="en-GB"/>
        </w:rPr>
        <w:t xml:space="preserve">. </w:t>
      </w:r>
      <w:r w:rsidR="00B6701F">
        <w:rPr>
          <w:lang w:val="en-US"/>
        </w:rPr>
        <w:t>The Committee also recommended that Finland p</w:t>
      </w:r>
      <w:r w:rsidR="00B6701F" w:rsidRPr="00570B68">
        <w:rPr>
          <w:lang w:val="en-US"/>
        </w:rPr>
        <w:t>rovide adequate training to judges and prosecutors on addressing hate speech and hate crimes</w:t>
      </w:r>
      <w:r w:rsidR="00B6701F">
        <w:rPr>
          <w:lang w:val="en-US"/>
        </w:rPr>
        <w:t xml:space="preserve">, </w:t>
      </w:r>
      <w:r w:rsidR="00B6701F" w:rsidRPr="00B6701F">
        <w:rPr>
          <w:bCs/>
          <w:color w:val="000000"/>
          <w:lang w:val="en-GB"/>
        </w:rPr>
        <w:t>effectively deal</w:t>
      </w:r>
      <w:r w:rsidR="00FA240B">
        <w:rPr>
          <w:bCs/>
          <w:color w:val="000000"/>
          <w:lang w:val="en-GB"/>
        </w:rPr>
        <w:t>ing</w:t>
      </w:r>
      <w:r w:rsidR="00B6701F" w:rsidRPr="00B6701F">
        <w:rPr>
          <w:bCs/>
          <w:color w:val="000000"/>
          <w:lang w:val="en-GB"/>
        </w:rPr>
        <w:t xml:space="preserve"> with cases of violence against women</w:t>
      </w:r>
      <w:r w:rsidR="00FA240B">
        <w:rPr>
          <w:bCs/>
          <w:color w:val="000000"/>
          <w:lang w:val="en-GB"/>
        </w:rPr>
        <w:t>,</w:t>
      </w:r>
      <w:r w:rsidR="00B6701F">
        <w:rPr>
          <w:rFonts w:cstheme="minorHAnsi"/>
          <w:iCs/>
          <w:lang w:val="en-GB"/>
        </w:rPr>
        <w:t xml:space="preserve"> and </w:t>
      </w:r>
      <w:r w:rsidR="00B6701F" w:rsidRPr="00B6701F">
        <w:rPr>
          <w:bCs/>
          <w:color w:val="000000"/>
          <w:lang w:val="en-GB"/>
        </w:rPr>
        <w:t>respect</w:t>
      </w:r>
      <w:r w:rsidR="00FA240B">
        <w:rPr>
          <w:bCs/>
          <w:color w:val="000000"/>
          <w:lang w:val="en-GB"/>
        </w:rPr>
        <w:t>ing</w:t>
      </w:r>
      <w:r w:rsidR="00B6701F" w:rsidRPr="00B6701F">
        <w:rPr>
          <w:bCs/>
          <w:color w:val="000000"/>
          <w:lang w:val="en-GB"/>
        </w:rPr>
        <w:t xml:space="preserve"> the rights of the Sami as an indigenous people</w:t>
      </w:r>
      <w:r w:rsidR="00B6701F">
        <w:rPr>
          <w:rFonts w:cstheme="minorHAnsi"/>
          <w:iCs/>
          <w:lang w:val="en-GB"/>
        </w:rPr>
        <w:t xml:space="preserve"> </w:t>
      </w:r>
      <w:r>
        <w:rPr>
          <w:rFonts w:cstheme="minorHAnsi"/>
          <w:iCs/>
          <w:lang w:val="en-GB"/>
        </w:rPr>
        <w:t>(</w:t>
      </w:r>
      <w:hyperlink r:id="rId12" w:history="1">
        <w:r w:rsidRPr="00F557CA">
          <w:rPr>
            <w:rStyle w:val="Hyperlink"/>
            <w:lang w:val="en-US"/>
          </w:rPr>
          <w:t>CCPR/C/FIN/CO/7</w:t>
        </w:r>
      </w:hyperlink>
      <w:r>
        <w:rPr>
          <w:lang w:val="en-US"/>
        </w:rPr>
        <w:t xml:space="preserve">, </w:t>
      </w:r>
      <w:r>
        <w:rPr>
          <w:rFonts w:cstheme="minorHAnsi"/>
          <w:iCs/>
          <w:lang w:val="en-GB"/>
        </w:rPr>
        <w:t>para</w:t>
      </w:r>
      <w:r w:rsidR="00FF63C0">
        <w:rPr>
          <w:rFonts w:cstheme="minorHAnsi"/>
          <w:iCs/>
          <w:lang w:val="en-GB"/>
        </w:rPr>
        <w:t>s.</w:t>
      </w:r>
      <w:r>
        <w:rPr>
          <w:rFonts w:cstheme="minorHAnsi"/>
          <w:iCs/>
          <w:lang w:val="en-GB"/>
        </w:rPr>
        <w:t xml:space="preserve"> 4</w:t>
      </w:r>
      <w:r w:rsidR="00B6701F">
        <w:rPr>
          <w:rFonts w:cstheme="minorHAnsi"/>
          <w:iCs/>
          <w:lang w:val="en-GB"/>
        </w:rPr>
        <w:t xml:space="preserve"> </w:t>
      </w:r>
      <w:r>
        <w:rPr>
          <w:rFonts w:cstheme="minorHAnsi"/>
          <w:iCs/>
          <w:lang w:val="en-GB"/>
        </w:rPr>
        <w:t>-</w:t>
      </w:r>
      <w:r w:rsidR="00B6701F">
        <w:rPr>
          <w:rFonts w:cstheme="minorHAnsi"/>
          <w:iCs/>
          <w:lang w:val="en-GB"/>
        </w:rPr>
        <w:t xml:space="preserve"> </w:t>
      </w:r>
      <w:r>
        <w:rPr>
          <w:rFonts w:cstheme="minorHAnsi"/>
          <w:iCs/>
          <w:lang w:val="en-GB"/>
        </w:rPr>
        <w:t>5</w:t>
      </w:r>
      <w:r w:rsidR="00B6701F">
        <w:rPr>
          <w:rFonts w:cstheme="minorHAnsi"/>
          <w:iCs/>
          <w:lang w:val="en-GB"/>
        </w:rPr>
        <w:t>, 15, 19 and 43</w:t>
      </w:r>
      <w:r>
        <w:rPr>
          <w:rFonts w:cstheme="minorHAnsi"/>
          <w:iCs/>
          <w:lang w:val="en-GB"/>
        </w:rPr>
        <w:t xml:space="preserve">). </w:t>
      </w:r>
    </w:p>
    <w:p w14:paraId="63DA9B19" w14:textId="6028B1B7" w:rsidR="004C57AC" w:rsidRPr="004068D2" w:rsidRDefault="004C57AC" w:rsidP="00F557CA">
      <w:pPr>
        <w:jc w:val="both"/>
        <w:rPr>
          <w:rFonts w:cstheme="minorHAnsi"/>
          <w:iCs/>
          <w:lang w:val="en-GB"/>
        </w:rPr>
      </w:pPr>
      <w:r w:rsidRPr="00DA1E47">
        <w:rPr>
          <w:rFonts w:cstheme="minorHAnsi"/>
          <w:iCs/>
          <w:lang w:val="en-GB"/>
        </w:rPr>
        <w:t xml:space="preserve">In its 2021 concluding observations, the UN Committee on Economic, Social and Cultural Rights noted </w:t>
      </w:r>
      <w:r w:rsidRPr="005A1420">
        <w:rPr>
          <w:rFonts w:cstheme="minorHAnsi"/>
          <w:iCs/>
          <w:lang w:val="en-GB"/>
        </w:rPr>
        <w:t>that the provisions of the Covenant on Economic</w:t>
      </w:r>
      <w:r w:rsidR="00FF63C0">
        <w:rPr>
          <w:rFonts w:cstheme="minorHAnsi"/>
          <w:iCs/>
          <w:lang w:val="en-GB"/>
        </w:rPr>
        <w:t>, Social and Cultural Rights were</w:t>
      </w:r>
      <w:r w:rsidRPr="005A1420">
        <w:rPr>
          <w:rFonts w:cstheme="minorHAnsi"/>
          <w:iCs/>
          <w:lang w:val="en-GB"/>
        </w:rPr>
        <w:t xml:space="preserve"> rarely invoked in courts, </w:t>
      </w:r>
      <w:r w:rsidR="00DA1E47" w:rsidRPr="007853A8">
        <w:rPr>
          <w:rFonts w:cstheme="minorHAnsi"/>
          <w:iCs/>
          <w:lang w:val="en-GB"/>
        </w:rPr>
        <w:t xml:space="preserve">in spite </w:t>
      </w:r>
      <w:r w:rsidRPr="007853A8">
        <w:rPr>
          <w:rFonts w:cstheme="minorHAnsi"/>
          <w:iCs/>
          <w:lang w:val="en-GB"/>
        </w:rPr>
        <w:t xml:space="preserve">of its status as a constitutional act in Finland’s </w:t>
      </w:r>
      <w:r w:rsidRPr="00942119">
        <w:rPr>
          <w:rFonts w:cstheme="minorHAnsi"/>
          <w:iCs/>
          <w:lang w:val="en-GB"/>
        </w:rPr>
        <w:t xml:space="preserve">domestic legal order. </w:t>
      </w:r>
      <w:r w:rsidR="00DA1E47" w:rsidRPr="00B6701F">
        <w:rPr>
          <w:bCs/>
          <w:color w:val="000000"/>
          <w:lang w:val="en-GB"/>
        </w:rPr>
        <w:t>Noting the explanation provided by Finland that the</w:t>
      </w:r>
      <w:r w:rsidR="00FF63C0">
        <w:rPr>
          <w:bCs/>
          <w:color w:val="000000"/>
          <w:lang w:val="en-GB"/>
        </w:rPr>
        <w:t xml:space="preserve"> Covenant and the </w:t>
      </w:r>
      <w:r w:rsidR="001150AE">
        <w:rPr>
          <w:bCs/>
          <w:color w:val="000000"/>
          <w:lang w:val="en-GB"/>
        </w:rPr>
        <w:t xml:space="preserve">rights </w:t>
      </w:r>
      <w:r w:rsidR="00FF63C0">
        <w:rPr>
          <w:bCs/>
          <w:color w:val="000000"/>
          <w:lang w:val="en-GB"/>
        </w:rPr>
        <w:t xml:space="preserve">therein were </w:t>
      </w:r>
      <w:r w:rsidR="00DA1E47" w:rsidRPr="00B6701F">
        <w:rPr>
          <w:bCs/>
          <w:color w:val="000000"/>
          <w:lang w:val="en-GB"/>
        </w:rPr>
        <w:t>reflected in national laws and regulations which domestic courts invoke</w:t>
      </w:r>
      <w:r w:rsidR="00FF63C0">
        <w:rPr>
          <w:bCs/>
          <w:color w:val="000000"/>
          <w:lang w:val="en-GB"/>
        </w:rPr>
        <w:t>d more readily</w:t>
      </w:r>
      <w:r w:rsidR="00DA1E47" w:rsidRPr="00B6701F">
        <w:rPr>
          <w:bCs/>
          <w:color w:val="000000"/>
          <w:lang w:val="en-GB"/>
        </w:rPr>
        <w:t>, the Committee recommended that</w:t>
      </w:r>
      <w:r w:rsidR="00FF63C0">
        <w:rPr>
          <w:bCs/>
          <w:color w:val="000000"/>
          <w:lang w:val="en-GB"/>
        </w:rPr>
        <w:t xml:space="preserve"> </w:t>
      </w:r>
      <w:r w:rsidRPr="00DA1E47">
        <w:rPr>
          <w:rFonts w:cstheme="minorHAnsi"/>
          <w:iCs/>
          <w:lang w:val="en-GB"/>
        </w:rPr>
        <w:t xml:space="preserve">awareness of the Covenant among the legal profession be promoted, </w:t>
      </w:r>
      <w:r w:rsidRPr="005A1420">
        <w:rPr>
          <w:rFonts w:cstheme="minorHAnsi"/>
          <w:iCs/>
          <w:lang w:val="en-GB"/>
        </w:rPr>
        <w:t xml:space="preserve">given that domestic law should be interpreted as </w:t>
      </w:r>
      <w:r w:rsidR="009E3076">
        <w:rPr>
          <w:rFonts w:cstheme="minorHAnsi"/>
          <w:iCs/>
          <w:lang w:val="en-GB"/>
        </w:rPr>
        <w:t>much</w:t>
      </w:r>
      <w:r w:rsidRPr="005A1420">
        <w:rPr>
          <w:rFonts w:cstheme="minorHAnsi"/>
          <w:iCs/>
          <w:lang w:val="en-GB"/>
        </w:rPr>
        <w:t xml:space="preserve"> as possible in a way which conforms to the rights and obligations under the Covenant</w:t>
      </w:r>
      <w:r w:rsidRPr="004068D2">
        <w:rPr>
          <w:rFonts w:cstheme="minorHAnsi"/>
          <w:iCs/>
          <w:lang w:val="en-GB"/>
        </w:rPr>
        <w:t>. The Committee thus recommend</w:t>
      </w:r>
      <w:r>
        <w:rPr>
          <w:rFonts w:cstheme="minorHAnsi"/>
          <w:iCs/>
          <w:lang w:val="en-GB"/>
        </w:rPr>
        <w:t>ed</w:t>
      </w:r>
      <w:r w:rsidRPr="004068D2">
        <w:rPr>
          <w:rFonts w:cstheme="minorHAnsi"/>
          <w:iCs/>
          <w:lang w:val="en-GB"/>
        </w:rPr>
        <w:t xml:space="preserve"> that </w:t>
      </w:r>
      <w:r>
        <w:rPr>
          <w:rFonts w:cstheme="minorHAnsi"/>
          <w:iCs/>
          <w:lang w:val="en-GB"/>
        </w:rPr>
        <w:t>Finland e</w:t>
      </w:r>
      <w:r w:rsidRPr="004068D2">
        <w:rPr>
          <w:rFonts w:cstheme="minorHAnsi"/>
          <w:iCs/>
          <w:lang w:val="en-GB"/>
        </w:rPr>
        <w:t xml:space="preserve">nhance training for judges, lawyers and public officials on the Covenant and the </w:t>
      </w:r>
      <w:proofErr w:type="spellStart"/>
      <w:r w:rsidRPr="004068D2">
        <w:rPr>
          <w:rFonts w:cstheme="minorHAnsi"/>
          <w:iCs/>
          <w:lang w:val="en-GB"/>
        </w:rPr>
        <w:t>justiciability</w:t>
      </w:r>
      <w:proofErr w:type="spellEnd"/>
      <w:r w:rsidRPr="004068D2">
        <w:rPr>
          <w:rFonts w:cstheme="minorHAnsi"/>
          <w:iCs/>
          <w:lang w:val="en-GB"/>
        </w:rPr>
        <w:t xml:space="preserve"> of the rights therein</w:t>
      </w:r>
      <w:r w:rsidR="00B6701F">
        <w:rPr>
          <w:rFonts w:cstheme="minorHAnsi"/>
          <w:iCs/>
          <w:lang w:val="en-GB"/>
        </w:rPr>
        <w:t xml:space="preserve"> </w:t>
      </w:r>
      <w:r>
        <w:rPr>
          <w:rFonts w:cstheme="minorHAnsi"/>
          <w:iCs/>
          <w:lang w:val="en-GB"/>
        </w:rPr>
        <w:t>(</w:t>
      </w:r>
      <w:hyperlink r:id="rId13" w:history="1">
        <w:r w:rsidRPr="004068D2">
          <w:rPr>
            <w:rStyle w:val="Hyperlink"/>
            <w:rFonts w:cstheme="minorHAnsi"/>
            <w:iCs/>
            <w:lang w:val="en-GB"/>
          </w:rPr>
          <w:t>E/C.12/FIN/CO/7</w:t>
        </w:r>
      </w:hyperlink>
      <w:r>
        <w:rPr>
          <w:rFonts w:cstheme="minorHAnsi"/>
          <w:iCs/>
          <w:lang w:val="en-GB"/>
        </w:rPr>
        <w:t>, para</w:t>
      </w:r>
      <w:r w:rsidR="00FF63C0">
        <w:rPr>
          <w:rFonts w:cstheme="minorHAnsi"/>
          <w:iCs/>
          <w:lang w:val="en-GB"/>
        </w:rPr>
        <w:t>s.</w:t>
      </w:r>
      <w:r>
        <w:rPr>
          <w:rFonts w:cstheme="minorHAnsi"/>
          <w:iCs/>
          <w:lang w:val="en-GB"/>
        </w:rPr>
        <w:t xml:space="preserve"> 4</w:t>
      </w:r>
      <w:r w:rsidR="00B6701F">
        <w:rPr>
          <w:rFonts w:cstheme="minorHAnsi"/>
          <w:iCs/>
          <w:lang w:val="en-GB"/>
        </w:rPr>
        <w:t xml:space="preserve"> </w:t>
      </w:r>
      <w:r>
        <w:rPr>
          <w:rFonts w:cstheme="minorHAnsi"/>
          <w:iCs/>
          <w:lang w:val="en-GB"/>
        </w:rPr>
        <w:t>-</w:t>
      </w:r>
      <w:r w:rsidR="00B6701F">
        <w:rPr>
          <w:rFonts w:cstheme="minorHAnsi"/>
          <w:iCs/>
          <w:lang w:val="en-GB"/>
        </w:rPr>
        <w:t xml:space="preserve"> </w:t>
      </w:r>
      <w:r>
        <w:rPr>
          <w:rFonts w:cstheme="minorHAnsi"/>
          <w:iCs/>
          <w:lang w:val="en-GB"/>
        </w:rPr>
        <w:t xml:space="preserve">5).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10C53D90" w14:textId="4FA250E4" w:rsidR="008B50CB" w:rsidRDefault="001B7CA2" w:rsidP="00FF5A3B">
      <w:pPr>
        <w:rPr>
          <w:iCs/>
          <w:lang w:val="en-GB"/>
        </w:rPr>
      </w:pPr>
      <w:r w:rsidRPr="001B7CA2">
        <w:rPr>
          <w:i/>
          <w:iCs/>
          <w:lang w:val="en-GB"/>
        </w:rPr>
        <w:t>3</w:t>
      </w:r>
      <w:r w:rsidR="00DC49B7">
        <w:rPr>
          <w:i/>
          <w:iCs/>
          <w:lang w:val="en-GB"/>
        </w:rPr>
        <w:t>9</w:t>
      </w:r>
      <w:r w:rsidRPr="001B7CA2">
        <w:rPr>
          <w:i/>
          <w:iCs/>
          <w:lang w:val="en-GB"/>
        </w:rPr>
        <w:t xml:space="preserve">. Framework, policy and use of impact assessments, stakeholders'/public consultations (particularly consultation of judiciary on judicial reforms), and transparency and quality of the legislative process </w:t>
      </w:r>
    </w:p>
    <w:p w14:paraId="77FCCD0D" w14:textId="7F7C48D5" w:rsidR="00170646" w:rsidRDefault="00170646" w:rsidP="00F557CA">
      <w:pPr>
        <w:jc w:val="both"/>
        <w:rPr>
          <w:iCs/>
          <w:lang w:val="en-GB"/>
        </w:rPr>
      </w:pPr>
      <w:r>
        <w:rPr>
          <w:iCs/>
          <w:lang w:val="en-GB"/>
        </w:rPr>
        <w:t>In its 2021 concluding observations</w:t>
      </w:r>
      <w:r w:rsidR="001A2CB5">
        <w:rPr>
          <w:iCs/>
          <w:lang w:val="en-GB"/>
        </w:rPr>
        <w:t>,</w:t>
      </w:r>
      <w:r>
        <w:rPr>
          <w:iCs/>
          <w:lang w:val="en-GB"/>
        </w:rPr>
        <w:t xml:space="preserve"> the UN Human Rights Committee took not</w:t>
      </w:r>
      <w:r w:rsidR="00F927B2">
        <w:rPr>
          <w:iCs/>
          <w:lang w:val="en-GB"/>
        </w:rPr>
        <w:t>e</w:t>
      </w:r>
      <w:r w:rsidRPr="00170646">
        <w:rPr>
          <w:iCs/>
          <w:lang w:val="en-GB"/>
        </w:rPr>
        <w:t xml:space="preserve"> of the human rights impact assessments of legislative and other policy proposals undertaken by various actors, such as the </w:t>
      </w:r>
      <w:r w:rsidRPr="00170646">
        <w:rPr>
          <w:iCs/>
          <w:lang w:val="en-GB"/>
        </w:rPr>
        <w:lastRenderedPageBreak/>
        <w:t>Council of Regulatory Impact An</w:t>
      </w:r>
      <w:r w:rsidR="00F927B2">
        <w:rPr>
          <w:iCs/>
          <w:lang w:val="en-GB"/>
        </w:rPr>
        <w:t>alysis. The Committee also noted</w:t>
      </w:r>
      <w:r w:rsidRPr="00170646">
        <w:rPr>
          <w:iCs/>
          <w:lang w:val="en-GB"/>
        </w:rPr>
        <w:t xml:space="preserve"> that the constitutionality of legislation and the compliance with human rights obligations is supervised by the Chancellor of Justice and the Con</w:t>
      </w:r>
      <w:r w:rsidR="00F557CA">
        <w:rPr>
          <w:iCs/>
          <w:lang w:val="en-GB"/>
        </w:rPr>
        <w:t>stitutional Law Committee. It was</w:t>
      </w:r>
      <w:r w:rsidRPr="00170646">
        <w:rPr>
          <w:iCs/>
          <w:lang w:val="en-GB"/>
        </w:rPr>
        <w:t xml:space="preserve"> concerned, however, by reports of the lack of a systematic approach to such assessment and </w:t>
      </w:r>
      <w:r w:rsidR="00C92DD5">
        <w:rPr>
          <w:iCs/>
          <w:lang w:val="en-GB"/>
        </w:rPr>
        <w:t>its</w:t>
      </w:r>
      <w:r w:rsidRPr="00170646">
        <w:rPr>
          <w:iCs/>
          <w:lang w:val="en-GB"/>
        </w:rPr>
        <w:t xml:space="preserve"> limited effectiveness in upholding the rights of children, women, asylum seekers, migrants and the Sami people, in particular regarding the collection and analysis of relevant data.</w:t>
      </w:r>
      <w:r w:rsidR="00F927B2">
        <w:rPr>
          <w:iCs/>
          <w:lang w:val="en-GB"/>
        </w:rPr>
        <w:t xml:space="preserve"> The Committee recommended that Finland </w:t>
      </w:r>
      <w:r w:rsidR="00F927B2" w:rsidRPr="00F927B2">
        <w:rPr>
          <w:iCs/>
          <w:lang w:val="en-GB"/>
        </w:rPr>
        <w:t>strengthen the mechanisms for human rights assessment of legislative and policy proposals prior to their adoption to ensure their compatibility with the Covenant</w:t>
      </w:r>
      <w:r w:rsidR="00FF63C0">
        <w:rPr>
          <w:iCs/>
          <w:lang w:val="en-GB"/>
        </w:rPr>
        <w:t xml:space="preserve"> on Civil and Political Rights</w:t>
      </w:r>
      <w:r w:rsidR="00F927B2" w:rsidRPr="00F927B2">
        <w:rPr>
          <w:iCs/>
          <w:lang w:val="en-GB"/>
        </w:rPr>
        <w:t xml:space="preserve">, in particular with respect to any legislative and policy proposals concerning the rights of persons belonging to vulnerable groups. </w:t>
      </w:r>
      <w:r w:rsidR="00F927B2">
        <w:rPr>
          <w:iCs/>
          <w:lang w:val="en-GB"/>
        </w:rPr>
        <w:t>The Committee also recommended that Finland</w:t>
      </w:r>
      <w:r w:rsidR="00F927B2" w:rsidRPr="00F927B2">
        <w:rPr>
          <w:iCs/>
          <w:lang w:val="en-GB"/>
        </w:rPr>
        <w:t xml:space="preserve"> improve its system of collecting reliable disaggregated data with a view to conducting impact assessments of legislation and policies on </w:t>
      </w:r>
      <w:r w:rsidR="00F557CA">
        <w:rPr>
          <w:iCs/>
          <w:lang w:val="en-GB"/>
        </w:rPr>
        <w:t xml:space="preserve">rights in the Covenant </w:t>
      </w:r>
      <w:r w:rsidR="00F927B2">
        <w:rPr>
          <w:iCs/>
          <w:lang w:val="en-GB"/>
        </w:rPr>
        <w:t>(</w:t>
      </w:r>
      <w:hyperlink r:id="rId14" w:history="1">
        <w:r w:rsidR="00F927B2" w:rsidRPr="00F557CA">
          <w:rPr>
            <w:rStyle w:val="Hyperlink"/>
            <w:iCs/>
            <w:lang w:val="en-GB"/>
          </w:rPr>
          <w:t>CCPR/C/FIN/CO/7</w:t>
        </w:r>
      </w:hyperlink>
      <w:r w:rsidR="00B6701F">
        <w:rPr>
          <w:iCs/>
          <w:lang w:val="en-GB"/>
        </w:rPr>
        <w:t>, para</w:t>
      </w:r>
      <w:r w:rsidR="00FF63C0">
        <w:rPr>
          <w:iCs/>
          <w:lang w:val="en-GB"/>
        </w:rPr>
        <w:t>s.</w:t>
      </w:r>
      <w:r w:rsidR="00F927B2">
        <w:rPr>
          <w:iCs/>
          <w:lang w:val="en-GB"/>
        </w:rPr>
        <w:t xml:space="preserve"> 6</w:t>
      </w:r>
      <w:r w:rsidR="00B6701F">
        <w:rPr>
          <w:iCs/>
          <w:lang w:val="en-GB"/>
        </w:rPr>
        <w:t xml:space="preserve"> </w:t>
      </w:r>
      <w:r w:rsidR="00F927B2">
        <w:rPr>
          <w:iCs/>
          <w:lang w:val="en-GB"/>
        </w:rPr>
        <w:t>-</w:t>
      </w:r>
      <w:r w:rsidR="00B6701F">
        <w:rPr>
          <w:iCs/>
          <w:lang w:val="en-GB"/>
        </w:rPr>
        <w:t xml:space="preserve"> </w:t>
      </w:r>
      <w:r w:rsidR="00F927B2">
        <w:rPr>
          <w:iCs/>
          <w:lang w:val="en-GB"/>
        </w:rPr>
        <w:t>7)</w:t>
      </w:r>
      <w:r w:rsidR="00F927B2" w:rsidRPr="00F927B2">
        <w:rPr>
          <w:iCs/>
          <w:lang w:val="en-GB"/>
        </w:rPr>
        <w:t>.</w:t>
      </w:r>
    </w:p>
    <w:p w14:paraId="1F6F064D" w14:textId="6822A31D" w:rsidR="00887E4C" w:rsidRDefault="001C04BF" w:rsidP="001C04BF">
      <w:pPr>
        <w:jc w:val="both"/>
        <w:rPr>
          <w:iCs/>
          <w:lang w:val="en-GB"/>
        </w:rPr>
      </w:pPr>
      <w:r>
        <w:rPr>
          <w:rFonts w:cstheme="minorHAnsi"/>
          <w:iCs/>
          <w:lang w:val="en-GB"/>
        </w:rPr>
        <w:t>T</w:t>
      </w:r>
      <w:r w:rsidR="00887E4C">
        <w:rPr>
          <w:rFonts w:cstheme="minorHAnsi"/>
          <w:iCs/>
          <w:lang w:val="en-GB"/>
        </w:rPr>
        <w:t xml:space="preserve">he UN </w:t>
      </w:r>
      <w:r w:rsidR="00241D5C">
        <w:rPr>
          <w:iCs/>
          <w:lang w:val="en-GB"/>
        </w:rPr>
        <w:t xml:space="preserve">Human Rights Committee </w:t>
      </w:r>
      <w:r>
        <w:rPr>
          <w:iCs/>
          <w:lang w:val="en-GB"/>
        </w:rPr>
        <w:t xml:space="preserve">also </w:t>
      </w:r>
      <w:proofErr w:type="gramStart"/>
      <w:r w:rsidR="00887E4C" w:rsidRPr="00887E4C">
        <w:rPr>
          <w:lang w:val="en-GB"/>
        </w:rPr>
        <w:t>expressed</w:t>
      </w:r>
      <w:r w:rsidR="00887E4C" w:rsidRPr="001C04BF">
        <w:rPr>
          <w:lang w:val="en-GB"/>
        </w:rPr>
        <w:t xml:space="preserve">  concern</w:t>
      </w:r>
      <w:proofErr w:type="gramEnd"/>
      <w:r w:rsidR="00887E4C" w:rsidRPr="001C04BF">
        <w:rPr>
          <w:lang w:val="en-GB"/>
        </w:rPr>
        <w:t xml:space="preserve"> that the Views</w:t>
      </w:r>
      <w:r w:rsidR="00FF63C0">
        <w:rPr>
          <w:rStyle w:val="FootnoteReference"/>
          <w:lang w:val="en-GB"/>
        </w:rPr>
        <w:footnoteReference w:id="1"/>
      </w:r>
      <w:r w:rsidR="00887E4C" w:rsidRPr="001C04BF">
        <w:rPr>
          <w:lang w:val="en-GB"/>
        </w:rPr>
        <w:t xml:space="preserve"> adopted by the Committee in November 2018 regarding the right of self-deter</w:t>
      </w:r>
      <w:r w:rsidR="00FF63C0">
        <w:rPr>
          <w:lang w:val="en-GB"/>
        </w:rPr>
        <w:t>mination of the Sami people had</w:t>
      </w:r>
      <w:r w:rsidR="00887E4C" w:rsidRPr="001C04BF">
        <w:rPr>
          <w:lang w:val="en-GB"/>
        </w:rPr>
        <w:t xml:space="preserve"> not been implemented.</w:t>
      </w:r>
      <w:r w:rsidR="00887E4C">
        <w:rPr>
          <w:lang w:val="en-GB"/>
        </w:rPr>
        <w:t xml:space="preserve"> </w:t>
      </w:r>
      <w:r w:rsidR="00887E4C" w:rsidRPr="001C04BF">
        <w:rPr>
          <w:lang w:val="en-GB"/>
        </w:rPr>
        <w:t xml:space="preserve">According to the </w:t>
      </w:r>
      <w:r w:rsidR="00241D5C" w:rsidRPr="00241D5C">
        <w:rPr>
          <w:lang w:val="en-GB"/>
        </w:rPr>
        <w:t>Committee</w:t>
      </w:r>
      <w:r w:rsidR="00887E4C" w:rsidRPr="001C04BF">
        <w:rPr>
          <w:lang w:val="en-GB"/>
        </w:rPr>
        <w:t>, the decisions of the Supreme Administrative Court of 5 July 2019, reinstating 97 individuals to the electoral role that the Electoral Committee of the Sami Parliament had removed, appear</w:t>
      </w:r>
      <w:r w:rsidR="00FF63C0">
        <w:rPr>
          <w:lang w:val="en-GB"/>
        </w:rPr>
        <w:t>ed</w:t>
      </w:r>
      <w:r w:rsidR="00887E4C" w:rsidRPr="001C04BF">
        <w:rPr>
          <w:lang w:val="en-GB"/>
        </w:rPr>
        <w:t xml:space="preserve"> to run counter to the Views of the </w:t>
      </w:r>
      <w:r w:rsidR="00241D5C" w:rsidRPr="00887E4C">
        <w:rPr>
          <w:lang w:val="en-GB"/>
        </w:rPr>
        <w:t>Committee. The</w:t>
      </w:r>
      <w:r w:rsidR="00887E4C" w:rsidRPr="001C04BF">
        <w:rPr>
          <w:lang w:val="en-GB"/>
        </w:rPr>
        <w:t xml:space="preserve"> Committee also </w:t>
      </w:r>
      <w:r w:rsidR="001A2CB5" w:rsidRPr="001C04BF">
        <w:rPr>
          <w:lang w:val="en-GB"/>
        </w:rPr>
        <w:t xml:space="preserve">noted </w:t>
      </w:r>
      <w:r w:rsidR="001A2CB5">
        <w:rPr>
          <w:lang w:val="en-GB"/>
        </w:rPr>
        <w:t>that</w:t>
      </w:r>
      <w:r w:rsidR="00685142" w:rsidRPr="00685142">
        <w:rPr>
          <w:lang w:val="en-GB"/>
        </w:rPr>
        <w:t xml:space="preserve"> </w:t>
      </w:r>
      <w:r w:rsidR="00887E4C" w:rsidRPr="001C04BF">
        <w:rPr>
          <w:lang w:val="en-GB"/>
        </w:rPr>
        <w:t>the Sami Parliament elections of September 2019 were not cancelled or postponed by the Government of Finland, thus resulting in a significant change in the composition of the Sami Parliament, with th</w:t>
      </w:r>
      <w:r w:rsidR="00FF63C0">
        <w:rPr>
          <w:lang w:val="en-GB"/>
        </w:rPr>
        <w:t>e entry of ethnic Finns, who were</w:t>
      </w:r>
      <w:r w:rsidR="00887E4C" w:rsidRPr="001C04BF">
        <w:rPr>
          <w:lang w:val="en-GB"/>
        </w:rPr>
        <w:t xml:space="preserve"> not considered to be Sami</w:t>
      </w:r>
      <w:r w:rsidR="00685142">
        <w:rPr>
          <w:lang w:val="en-GB"/>
        </w:rPr>
        <w:t xml:space="preserve"> by the Sami Parliament. The Committee recommended Finland to </w:t>
      </w:r>
      <w:r w:rsidR="00887E4C" w:rsidRPr="001C04BF">
        <w:rPr>
          <w:lang w:val="en-GB"/>
        </w:rPr>
        <w:t>promptly comply with all the Views with respect to the Sami indigenous people, through appropriate and effective mechanisms, so as to guarantee the right of v</w:t>
      </w:r>
      <w:r>
        <w:rPr>
          <w:lang w:val="en-GB"/>
        </w:rPr>
        <w:t xml:space="preserve">ictims to an effective remedy. </w:t>
      </w:r>
      <w:r w:rsidR="004926B4">
        <w:rPr>
          <w:rFonts w:eastAsia="Times New Roman" w:cstheme="minorHAnsi"/>
          <w:color w:val="000000"/>
          <w:lang w:val="en-GB"/>
        </w:rPr>
        <w:t>The Committee was</w:t>
      </w:r>
      <w:r w:rsidRPr="001C04BF">
        <w:rPr>
          <w:rFonts w:eastAsia="Times New Roman" w:cstheme="minorHAnsi"/>
          <w:color w:val="000000"/>
          <w:lang w:val="en-GB"/>
        </w:rPr>
        <w:t xml:space="preserve"> further concerned about reports that vague criteria  to assess the impact of measures, including development projects, on Sami culture and traditional livelihoods have resulted in the authorities’ failure to engage in meaningful consultations to obtain their free, prior and informed consent. </w:t>
      </w:r>
      <w:r w:rsidRPr="001C04BF">
        <w:rPr>
          <w:rFonts w:eastAsia="Times New Roman" w:cstheme="minorHAnsi"/>
          <w:bCs/>
          <w:color w:val="000000"/>
          <w:lang w:val="en-US"/>
        </w:rPr>
        <w:t xml:space="preserve">The Committee recommended </w:t>
      </w:r>
      <w:r w:rsidR="004926B4">
        <w:rPr>
          <w:rFonts w:eastAsia="Times New Roman" w:cstheme="minorHAnsi"/>
          <w:bCs/>
          <w:color w:val="000000"/>
          <w:lang w:val="en-US"/>
        </w:rPr>
        <w:t>Finland to s</w:t>
      </w:r>
      <w:r w:rsidRPr="001C04BF">
        <w:rPr>
          <w:rFonts w:eastAsia="Times New Roman" w:cstheme="minorHAnsi"/>
          <w:bCs/>
          <w:color w:val="000000"/>
          <w:lang w:val="en-US"/>
        </w:rPr>
        <w:t>peed up the process of re</w:t>
      </w:r>
      <w:r w:rsidR="004926B4">
        <w:rPr>
          <w:rFonts w:eastAsia="Times New Roman" w:cstheme="minorHAnsi"/>
          <w:bCs/>
          <w:color w:val="000000"/>
          <w:lang w:val="en-US"/>
        </w:rPr>
        <w:t>vising the Sami Parliament Act and to r</w:t>
      </w:r>
      <w:r w:rsidRPr="001C04BF">
        <w:rPr>
          <w:rFonts w:eastAsia="Times New Roman" w:cstheme="minorHAnsi"/>
          <w:bCs/>
          <w:color w:val="000000"/>
          <w:lang w:val="en-US"/>
        </w:rPr>
        <w:t>eview existing legislation, policies and practices regulating activities that may have an impact on the rights a</w:t>
      </w:r>
      <w:r w:rsidR="004926B4">
        <w:rPr>
          <w:rFonts w:eastAsia="Times New Roman" w:cstheme="minorHAnsi"/>
          <w:bCs/>
          <w:color w:val="000000"/>
          <w:lang w:val="en-US"/>
        </w:rPr>
        <w:t xml:space="preserve">nd interests of the Sami people </w:t>
      </w:r>
      <w:r w:rsidR="00241D5C">
        <w:rPr>
          <w:lang w:val="en-GB"/>
        </w:rPr>
        <w:t>(</w:t>
      </w:r>
      <w:hyperlink r:id="rId15" w:history="1">
        <w:r w:rsidR="00241D5C" w:rsidRPr="00F557CA">
          <w:rPr>
            <w:rStyle w:val="Hyperlink"/>
            <w:iCs/>
            <w:lang w:val="en-GB"/>
          </w:rPr>
          <w:t>CCPR/C/FIN/CO/7</w:t>
        </w:r>
      </w:hyperlink>
      <w:r w:rsidR="00241D5C">
        <w:rPr>
          <w:iCs/>
          <w:lang w:val="en-GB"/>
        </w:rPr>
        <w:t>, para</w:t>
      </w:r>
      <w:r w:rsidR="001133B7">
        <w:rPr>
          <w:iCs/>
          <w:lang w:val="en-GB"/>
        </w:rPr>
        <w:t>s.</w:t>
      </w:r>
      <w:r w:rsidR="00241D5C">
        <w:rPr>
          <w:iCs/>
          <w:lang w:val="en-GB"/>
        </w:rPr>
        <w:t xml:space="preserve"> 4</w:t>
      </w:r>
      <w:r w:rsidR="00BA18FD">
        <w:rPr>
          <w:iCs/>
          <w:lang w:val="en-GB"/>
        </w:rPr>
        <w:t xml:space="preserve"> -</w:t>
      </w:r>
      <w:r>
        <w:rPr>
          <w:iCs/>
          <w:lang w:val="en-GB"/>
        </w:rPr>
        <w:t xml:space="preserve"> </w:t>
      </w:r>
      <w:r w:rsidR="00241D5C">
        <w:rPr>
          <w:iCs/>
          <w:lang w:val="en-GB"/>
        </w:rPr>
        <w:t>5</w:t>
      </w:r>
      <w:r>
        <w:rPr>
          <w:iCs/>
          <w:lang w:val="en-GB"/>
        </w:rPr>
        <w:t xml:space="preserve">, </w:t>
      </w:r>
      <w:r w:rsidRPr="001C04BF">
        <w:rPr>
          <w:rFonts w:eastAsia="Times New Roman" w:cstheme="minorHAnsi"/>
          <w:iCs/>
          <w:lang w:val="en-GB"/>
        </w:rPr>
        <w:t>42</w:t>
      </w:r>
      <w:r>
        <w:rPr>
          <w:rFonts w:eastAsia="Times New Roman" w:cstheme="minorHAnsi"/>
          <w:iCs/>
          <w:lang w:val="en-GB"/>
        </w:rPr>
        <w:t xml:space="preserve"> </w:t>
      </w:r>
      <w:r w:rsidRPr="001C04BF">
        <w:rPr>
          <w:rFonts w:eastAsia="Times New Roman" w:cstheme="minorHAnsi"/>
          <w:iCs/>
          <w:lang w:val="en-GB"/>
        </w:rPr>
        <w:t>-</w:t>
      </w:r>
      <w:r>
        <w:rPr>
          <w:rFonts w:eastAsia="Times New Roman" w:cstheme="minorHAnsi"/>
          <w:iCs/>
          <w:lang w:val="en-GB"/>
        </w:rPr>
        <w:t xml:space="preserve"> </w:t>
      </w:r>
      <w:r w:rsidRPr="001C04BF">
        <w:rPr>
          <w:rFonts w:eastAsia="Times New Roman" w:cstheme="minorHAnsi"/>
          <w:iCs/>
          <w:lang w:val="en-GB"/>
        </w:rPr>
        <w:t>43</w:t>
      </w:r>
      <w:r w:rsidR="00241D5C">
        <w:rPr>
          <w:iCs/>
          <w:lang w:val="en-GB"/>
        </w:rPr>
        <w:t>)</w:t>
      </w:r>
      <w:r w:rsidR="004926B4">
        <w:rPr>
          <w:iCs/>
          <w:lang w:val="en-GB"/>
        </w:rPr>
        <w:t>.</w:t>
      </w:r>
    </w:p>
    <w:p w14:paraId="3B69BF30" w14:textId="77777777" w:rsidR="001A2CB5" w:rsidRDefault="001B7CA2" w:rsidP="001A2CB5">
      <w:pPr>
        <w:spacing w:line="240" w:lineRule="auto"/>
        <w:rPr>
          <w:lang w:val="en-GB"/>
        </w:rPr>
      </w:pPr>
      <w:r w:rsidRPr="001B7CA2">
        <w:rPr>
          <w:i/>
          <w:iCs/>
          <w:lang w:val="en-GB"/>
        </w:rPr>
        <w:t>4</w:t>
      </w:r>
      <w:r w:rsidR="00DC49B7">
        <w:rPr>
          <w:i/>
          <w:iCs/>
          <w:lang w:val="en-GB"/>
        </w:rPr>
        <w:t>2</w:t>
      </w:r>
      <w:r w:rsidRPr="001B7CA2">
        <w:rPr>
          <w:i/>
          <w:iCs/>
          <w:lang w:val="en-GB"/>
        </w:rPr>
        <w:t xml:space="preserve">. COVID-19: provide update on significant developments with regard to emergency regimes in the context of the COVID-19 pandemic </w:t>
      </w:r>
    </w:p>
    <w:p w14:paraId="3566BDE6" w14:textId="22E16198" w:rsidR="001B7CA2" w:rsidRPr="001B7CA2" w:rsidRDefault="001B7CA2" w:rsidP="001A2CB5">
      <w:pPr>
        <w:spacing w:line="240" w:lineRule="auto"/>
        <w:rPr>
          <w:lang w:val="en-GB"/>
        </w:rPr>
      </w:pPr>
      <w:r w:rsidRPr="001B7CA2">
        <w:rPr>
          <w:lang w:val="en-GB"/>
        </w:rPr>
        <w:t xml:space="preserve">- </w:t>
      </w:r>
      <w:proofErr w:type="gramStart"/>
      <w:r w:rsidRPr="001B7CA2">
        <w:rPr>
          <w:i/>
          <w:iCs/>
          <w:lang w:val="en-GB"/>
        </w:rPr>
        <w:t>judicial</w:t>
      </w:r>
      <w:proofErr w:type="gramEnd"/>
      <w:r w:rsidRPr="001B7CA2">
        <w:rPr>
          <w:i/>
          <w:iCs/>
          <w:lang w:val="en-GB"/>
        </w:rPr>
        <w:t xml:space="preserve"> review (including constitutional review) of emergency regimes and measures in the context of COVID-19 pandemic </w:t>
      </w:r>
    </w:p>
    <w:p w14:paraId="418FEC9B" w14:textId="77777777" w:rsidR="001B7CA2" w:rsidRPr="001B7CA2" w:rsidRDefault="001B7CA2" w:rsidP="001A2CB5">
      <w:pPr>
        <w:spacing w:line="240" w:lineRule="auto"/>
        <w:rPr>
          <w:lang w:val="en-GB"/>
        </w:rPr>
      </w:pPr>
      <w:r w:rsidRPr="001B7CA2">
        <w:rPr>
          <w:lang w:val="en-GB"/>
        </w:rPr>
        <w:t xml:space="preserve">- </w:t>
      </w:r>
      <w:proofErr w:type="gramStart"/>
      <w:r w:rsidRPr="001B7CA2">
        <w:rPr>
          <w:i/>
          <w:iCs/>
          <w:lang w:val="en-GB"/>
        </w:rPr>
        <w:t>oversight</w:t>
      </w:r>
      <w:proofErr w:type="gramEnd"/>
      <w:r w:rsidRPr="001B7CA2">
        <w:rPr>
          <w:i/>
          <w:iCs/>
          <w:lang w:val="en-GB"/>
        </w:rPr>
        <w:t xml:space="preserve"> by Parliament of emergency regimes and measures in the context of COVID-19 pandemic </w:t>
      </w:r>
    </w:p>
    <w:p w14:paraId="4974DE29" w14:textId="731A8E7E" w:rsidR="001B7CA2" w:rsidRDefault="001B7CA2" w:rsidP="001A2CB5">
      <w:pPr>
        <w:spacing w:line="240" w:lineRule="auto"/>
        <w:rPr>
          <w:i/>
          <w:iCs/>
          <w:lang w:val="en-GB"/>
        </w:rPr>
      </w:pPr>
      <w:r w:rsidRPr="001B7CA2">
        <w:rPr>
          <w:lang w:val="en-GB"/>
        </w:rPr>
        <w:t xml:space="preserve">- </w:t>
      </w:r>
      <w:proofErr w:type="gramStart"/>
      <w:r w:rsidRPr="001B7CA2">
        <w:rPr>
          <w:i/>
          <w:iCs/>
          <w:lang w:val="en-GB"/>
        </w:rPr>
        <w:t>measures</w:t>
      </w:r>
      <w:proofErr w:type="gramEnd"/>
      <w:r w:rsidRPr="001B7CA2">
        <w:rPr>
          <w:i/>
          <w:iCs/>
          <w:lang w:val="en-GB"/>
        </w:rPr>
        <w:t xml:space="preserve"> taken to ensure the continued activity of Parliament (including possible best practices) </w:t>
      </w:r>
    </w:p>
    <w:p w14:paraId="5CD976C7" w14:textId="6A9384B4" w:rsidR="001150AE" w:rsidRDefault="001150AE" w:rsidP="001150AE">
      <w:pPr>
        <w:jc w:val="both"/>
        <w:rPr>
          <w:lang w:val="en-US"/>
        </w:rPr>
      </w:pPr>
      <w:r w:rsidRPr="001150AE">
        <w:rPr>
          <w:lang w:val="en-US"/>
        </w:rPr>
        <w:t>In April 2021, the Special Rapporteur on the independence of judges and lawyers in his report on “The coronavirus disease (COVID-19) pandemic: impact and challenges for independent justice” noted that Finland had decided that courts woul</w:t>
      </w:r>
      <w:r>
        <w:rPr>
          <w:lang w:val="en-US"/>
        </w:rPr>
        <w:t>d deal with urgent matters only</w:t>
      </w:r>
      <w:r w:rsidRPr="001150AE">
        <w:rPr>
          <w:lang w:val="en-US"/>
        </w:rPr>
        <w:t xml:space="preserve"> (</w:t>
      </w:r>
      <w:hyperlink r:id="rId16" w:history="1">
        <w:r w:rsidRPr="001150AE">
          <w:rPr>
            <w:rStyle w:val="Hyperlink"/>
            <w:lang w:val="en-US"/>
          </w:rPr>
          <w:t>A/HRC/47/35</w:t>
        </w:r>
      </w:hyperlink>
      <w:r w:rsidRPr="001150AE">
        <w:rPr>
          <w:lang w:val="en-US"/>
        </w:rPr>
        <w:t>, para</w:t>
      </w:r>
      <w:r>
        <w:rPr>
          <w:lang w:val="en-US"/>
        </w:rPr>
        <w:t>. 17).</w:t>
      </w:r>
    </w:p>
    <w:p w14:paraId="3856E9B3" w14:textId="7ABB3532" w:rsidR="00D91F68" w:rsidRDefault="00D91F68" w:rsidP="001150AE">
      <w:pPr>
        <w:jc w:val="both"/>
        <w:rPr>
          <w:lang w:val="en-US"/>
        </w:rPr>
      </w:pPr>
    </w:p>
    <w:p w14:paraId="7AF4C61B" w14:textId="77777777" w:rsidR="00BA18FD" w:rsidRPr="001150AE" w:rsidRDefault="00BA18FD" w:rsidP="001150AE">
      <w:pPr>
        <w:jc w:val="both"/>
        <w:rPr>
          <w:lang w:val="en-US"/>
        </w:rPr>
      </w:pPr>
      <w:bookmarkStart w:id="0" w:name="_GoBack"/>
      <w:bookmarkEnd w:id="0"/>
    </w:p>
    <w:p w14:paraId="237B9B4B" w14:textId="77777777" w:rsidR="001B7CA2" w:rsidRPr="001B7CA2" w:rsidRDefault="001B7CA2" w:rsidP="001B7CA2">
      <w:pPr>
        <w:rPr>
          <w:lang w:val="en-GB"/>
        </w:rPr>
      </w:pPr>
      <w:r w:rsidRPr="001B7CA2">
        <w:rPr>
          <w:b/>
          <w:bCs/>
          <w:i/>
          <w:iCs/>
          <w:lang w:val="en-GB"/>
        </w:rPr>
        <w:lastRenderedPageBreak/>
        <w:t xml:space="preserve">B. Independent authorities </w:t>
      </w:r>
    </w:p>
    <w:p w14:paraId="25D40A66" w14:textId="566EFD51" w:rsidR="001B7CA2" w:rsidRDefault="001B7CA2" w:rsidP="001B7CA2">
      <w:pPr>
        <w:rPr>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7E7E3355" w14:textId="79E458F0" w:rsidR="008E129A" w:rsidRDefault="008E129A" w:rsidP="00F557CA">
      <w:pPr>
        <w:pStyle w:val="Header"/>
        <w:jc w:val="both"/>
        <w:rPr>
          <w:lang w:val="en-US"/>
        </w:rPr>
      </w:pPr>
      <w:r>
        <w:rPr>
          <w:iCs/>
          <w:lang w:val="en-GB"/>
        </w:rPr>
        <w:t>In its 2021 concluding observations</w:t>
      </w:r>
      <w:r w:rsidR="00D91F68">
        <w:rPr>
          <w:iCs/>
          <w:lang w:val="en-GB"/>
        </w:rPr>
        <w:t>,</w:t>
      </w:r>
      <w:r>
        <w:rPr>
          <w:iCs/>
          <w:lang w:val="en-GB"/>
        </w:rPr>
        <w:t xml:space="preserve"> the UN Human Rights Committee expressed </w:t>
      </w:r>
      <w:r w:rsidR="00F557CA">
        <w:rPr>
          <w:iCs/>
          <w:lang w:val="en-GB"/>
        </w:rPr>
        <w:t>concern</w:t>
      </w:r>
      <w:r>
        <w:rPr>
          <w:iCs/>
          <w:lang w:val="en-GB"/>
        </w:rPr>
        <w:t xml:space="preserve"> </w:t>
      </w:r>
      <w:r w:rsidRPr="008E129A">
        <w:rPr>
          <w:iCs/>
          <w:lang w:val="en-GB"/>
        </w:rPr>
        <w:t xml:space="preserve">that the </w:t>
      </w:r>
      <w:r w:rsidR="00D91F68">
        <w:rPr>
          <w:iCs/>
          <w:lang w:val="en-GB"/>
        </w:rPr>
        <w:t xml:space="preserve">Non-Discrimination </w:t>
      </w:r>
      <w:r w:rsidR="008E230A">
        <w:rPr>
          <w:iCs/>
          <w:lang w:val="en-GB"/>
        </w:rPr>
        <w:t>Ombudsman could</w:t>
      </w:r>
      <w:r w:rsidRPr="008E129A">
        <w:rPr>
          <w:iCs/>
          <w:lang w:val="en-GB"/>
        </w:rPr>
        <w:t xml:space="preserve"> bring cases of discrimination before the National Non-Discrimination and Equality Tribunal only with the consent of all aggrieved </w:t>
      </w:r>
      <w:r w:rsidR="008E230A">
        <w:rPr>
          <w:iCs/>
          <w:lang w:val="en-GB"/>
        </w:rPr>
        <w:t xml:space="preserve">parties and that victims could </w:t>
      </w:r>
      <w:r w:rsidRPr="008E129A">
        <w:rPr>
          <w:iCs/>
          <w:lang w:val="en-GB"/>
        </w:rPr>
        <w:t>not seek compensation before the Tribunal, but only through lengthy judicial proceedings in a court of law. The Committee also note</w:t>
      </w:r>
      <w:r>
        <w:rPr>
          <w:iCs/>
          <w:lang w:val="en-GB"/>
        </w:rPr>
        <w:t>d</w:t>
      </w:r>
      <w:r w:rsidRPr="008E129A">
        <w:rPr>
          <w:iCs/>
          <w:lang w:val="en-GB"/>
        </w:rPr>
        <w:t xml:space="preserve"> with concern the </w:t>
      </w:r>
      <w:r w:rsidR="00F557CA">
        <w:rPr>
          <w:iCs/>
          <w:lang w:val="en-GB"/>
        </w:rPr>
        <w:t>Finish</w:t>
      </w:r>
      <w:r w:rsidR="008E230A">
        <w:rPr>
          <w:iCs/>
          <w:lang w:val="en-GB"/>
        </w:rPr>
        <w:t xml:space="preserve"> </w:t>
      </w:r>
      <w:r w:rsidR="00D91F68">
        <w:rPr>
          <w:iCs/>
          <w:lang w:val="en-GB"/>
        </w:rPr>
        <w:t>authorities</w:t>
      </w:r>
      <w:r w:rsidR="00D91F68" w:rsidRPr="008E129A">
        <w:rPr>
          <w:iCs/>
          <w:lang w:val="en-GB"/>
        </w:rPr>
        <w:t>’</w:t>
      </w:r>
      <w:r w:rsidRPr="008E129A">
        <w:rPr>
          <w:iCs/>
          <w:lang w:val="en-GB"/>
        </w:rPr>
        <w:t xml:space="preserve"> acknowledgement that </w:t>
      </w:r>
      <w:r w:rsidR="008E230A">
        <w:rPr>
          <w:iCs/>
          <w:lang w:val="en-GB"/>
        </w:rPr>
        <w:t>the Non-Discrimination Act was</w:t>
      </w:r>
      <w:r w:rsidRPr="008E129A">
        <w:rPr>
          <w:iCs/>
          <w:lang w:val="en-GB"/>
        </w:rPr>
        <w:t xml:space="preserve"> not yet widely known among the public, and victims of discrimination thus tend</w:t>
      </w:r>
      <w:r w:rsidR="009E7D1D">
        <w:rPr>
          <w:iCs/>
          <w:lang w:val="en-GB"/>
        </w:rPr>
        <w:t>ed</w:t>
      </w:r>
      <w:r w:rsidRPr="008E129A">
        <w:rPr>
          <w:iCs/>
          <w:lang w:val="en-GB"/>
        </w:rPr>
        <w:t xml:space="preserve"> to seek remedies through varying and som</w:t>
      </w:r>
      <w:r w:rsidR="00F557CA">
        <w:rPr>
          <w:iCs/>
          <w:lang w:val="en-GB"/>
        </w:rPr>
        <w:t>etimes confusing channels. It was</w:t>
      </w:r>
      <w:r w:rsidRPr="008E129A">
        <w:rPr>
          <w:iCs/>
          <w:lang w:val="en-GB"/>
        </w:rPr>
        <w:t xml:space="preserve"> also concerned about the low level of political representation of women with disabilities or ethnic minority backgrounds, and about the paucity of disaggregated statistics in that respect</w:t>
      </w:r>
      <w:r>
        <w:rPr>
          <w:iCs/>
          <w:lang w:val="en-GB"/>
        </w:rPr>
        <w:t>. The Committee recommended that Finland r</w:t>
      </w:r>
      <w:r w:rsidRPr="008E129A">
        <w:rPr>
          <w:iCs/>
          <w:lang w:val="en-GB"/>
        </w:rPr>
        <w:t>eview the mandate of the Non-Discrimination Ombudsman, with a view to removing obstacles to effectively bringing all cases of discrimination before the National Non-Discrimination and Equality Tribunal;</w:t>
      </w:r>
      <w:r>
        <w:rPr>
          <w:iCs/>
          <w:lang w:val="en-GB"/>
        </w:rPr>
        <w:t xml:space="preserve"> c</w:t>
      </w:r>
      <w:r w:rsidRPr="008E129A">
        <w:rPr>
          <w:iCs/>
          <w:lang w:val="en-GB"/>
        </w:rPr>
        <w:t>onsider enabling the National Non-Discrimination and Equality Tribunal to provide compensation directly</w:t>
      </w:r>
      <w:r w:rsidR="001133B7">
        <w:rPr>
          <w:iCs/>
          <w:lang w:val="en-GB"/>
        </w:rPr>
        <w:t xml:space="preserve"> to victims so that victims have</w:t>
      </w:r>
      <w:r w:rsidRPr="008E129A">
        <w:rPr>
          <w:iCs/>
          <w:lang w:val="en-GB"/>
        </w:rPr>
        <w:t xml:space="preserve"> timely access to effective remedies;</w:t>
      </w:r>
      <w:r>
        <w:rPr>
          <w:iCs/>
          <w:lang w:val="en-GB"/>
        </w:rPr>
        <w:t xml:space="preserve"> and r</w:t>
      </w:r>
      <w:r w:rsidRPr="008E129A">
        <w:rPr>
          <w:iCs/>
          <w:lang w:val="en-GB"/>
        </w:rPr>
        <w:t>aise awareness among the public about anti-discrimination legislation and legal remedies available for victims of discrimination, including about the mandates of the Non-Discrimination Ombudsman, the Ombudsman for Equality and the National Non-Discr</w:t>
      </w:r>
      <w:r>
        <w:rPr>
          <w:iCs/>
          <w:lang w:val="en-GB"/>
        </w:rPr>
        <w:t>imination and Equality Tribuna</w:t>
      </w:r>
      <w:r w:rsidR="00D332F8">
        <w:rPr>
          <w:iCs/>
          <w:lang w:val="en-GB"/>
        </w:rPr>
        <w:t>l</w:t>
      </w:r>
      <w:r>
        <w:rPr>
          <w:iCs/>
          <w:lang w:val="en-GB"/>
        </w:rPr>
        <w:t xml:space="preserve"> </w:t>
      </w:r>
      <w:hyperlink r:id="rId17" w:history="1">
        <w:r w:rsidRPr="00F557CA">
          <w:rPr>
            <w:rStyle w:val="Hyperlink"/>
            <w:iCs/>
            <w:lang w:val="en-GB"/>
          </w:rPr>
          <w:t>(</w:t>
        </w:r>
        <w:r w:rsidRPr="00F557CA">
          <w:rPr>
            <w:rStyle w:val="Hyperlink"/>
            <w:lang w:val="en-US"/>
          </w:rPr>
          <w:t>CCPR/C/FIN/CO/7</w:t>
        </w:r>
      </w:hyperlink>
      <w:r>
        <w:rPr>
          <w:lang w:val="en-US"/>
        </w:rPr>
        <w:t>, para</w:t>
      </w:r>
      <w:r w:rsidR="001133B7">
        <w:rPr>
          <w:lang w:val="en-US"/>
        </w:rPr>
        <w:t>s.</w:t>
      </w:r>
      <w:r>
        <w:rPr>
          <w:lang w:val="en-US"/>
        </w:rPr>
        <w:t xml:space="preserve"> </w:t>
      </w:r>
      <w:r w:rsidR="00D83F44">
        <w:rPr>
          <w:lang w:val="en-US"/>
        </w:rPr>
        <w:t>12</w:t>
      </w:r>
      <w:r w:rsidR="001C04BF">
        <w:rPr>
          <w:lang w:val="en-US"/>
        </w:rPr>
        <w:t xml:space="preserve"> </w:t>
      </w:r>
      <w:r w:rsidR="00D83F44">
        <w:rPr>
          <w:lang w:val="en-US"/>
        </w:rPr>
        <w:t>-</w:t>
      </w:r>
      <w:r w:rsidR="001C04BF">
        <w:rPr>
          <w:lang w:val="en-US"/>
        </w:rPr>
        <w:t xml:space="preserve"> </w:t>
      </w:r>
      <w:r>
        <w:rPr>
          <w:lang w:val="en-US"/>
        </w:rPr>
        <w:t xml:space="preserve">13). </w:t>
      </w:r>
    </w:p>
    <w:p w14:paraId="2AD6B2A2" w14:textId="137FBCB3" w:rsidR="004926B4" w:rsidRDefault="004926B4" w:rsidP="00F557CA">
      <w:pPr>
        <w:pStyle w:val="Header"/>
        <w:jc w:val="both"/>
        <w:rPr>
          <w:lang w:val="en-US"/>
        </w:rPr>
      </w:pPr>
    </w:p>
    <w:p w14:paraId="0E93E2A9" w14:textId="44BBEBAB" w:rsidR="004926B4" w:rsidRDefault="004926B4" w:rsidP="004926B4">
      <w:pPr>
        <w:pStyle w:val="Header"/>
        <w:jc w:val="both"/>
        <w:rPr>
          <w:bCs/>
          <w:lang w:val="en-GB"/>
        </w:rPr>
      </w:pPr>
      <w:r>
        <w:rPr>
          <w:lang w:val="en-US"/>
        </w:rPr>
        <w:t xml:space="preserve">In November 2021, </w:t>
      </w:r>
      <w:r w:rsidRPr="004926B4">
        <w:rPr>
          <w:bCs/>
          <w:lang w:val="en-US"/>
        </w:rPr>
        <w:t xml:space="preserve">the UN Independent Expert on the enjoyment of all human rights by </w:t>
      </w:r>
      <w:r w:rsidR="001133B7">
        <w:rPr>
          <w:bCs/>
          <w:lang w:val="en-US"/>
        </w:rPr>
        <w:t>older persons, in the</w:t>
      </w:r>
      <w:r w:rsidRPr="004926B4">
        <w:rPr>
          <w:bCs/>
          <w:lang w:val="en-US"/>
        </w:rPr>
        <w:t xml:space="preserve"> end of mission statement on her visit to Finland</w:t>
      </w:r>
      <w:r>
        <w:rPr>
          <w:bCs/>
          <w:lang w:val="en-US"/>
        </w:rPr>
        <w:t xml:space="preserve"> stated that </w:t>
      </w:r>
      <w:r>
        <w:rPr>
          <w:bCs/>
          <w:lang w:val="en-GB"/>
        </w:rPr>
        <w:t>she was</w:t>
      </w:r>
      <w:r w:rsidRPr="004926B4">
        <w:rPr>
          <w:bCs/>
          <w:lang w:val="en-GB"/>
        </w:rPr>
        <w:t xml:space="preserve"> encouraged by the continued work of the </w:t>
      </w:r>
      <w:r w:rsidR="00F7169C" w:rsidRPr="004926B4">
        <w:rPr>
          <w:bCs/>
          <w:lang w:val="en-GB"/>
        </w:rPr>
        <w:t>long-standing</w:t>
      </w:r>
      <w:r w:rsidRPr="004926B4">
        <w:rPr>
          <w:bCs/>
          <w:lang w:val="en-GB"/>
        </w:rPr>
        <w:t xml:space="preserve"> monitoring mechanisms of th</w:t>
      </w:r>
      <w:r>
        <w:rPr>
          <w:bCs/>
          <w:lang w:val="en-GB"/>
        </w:rPr>
        <w:t xml:space="preserve">e various ombudspersons and </w:t>
      </w:r>
      <w:r w:rsidR="00F7169C">
        <w:rPr>
          <w:bCs/>
          <w:lang w:val="en-GB"/>
        </w:rPr>
        <w:t xml:space="preserve">that </w:t>
      </w:r>
      <w:r>
        <w:rPr>
          <w:bCs/>
          <w:lang w:val="en-GB"/>
        </w:rPr>
        <w:t>she was</w:t>
      </w:r>
      <w:r w:rsidRPr="004926B4">
        <w:rPr>
          <w:bCs/>
          <w:lang w:val="en-GB"/>
        </w:rPr>
        <w:t xml:space="preserve"> looking forward to the addition of a newly established ombudsperson for older persons which should raise continued awareness to the human rights of older persons. </w:t>
      </w:r>
      <w:r>
        <w:rPr>
          <w:bCs/>
          <w:lang w:val="en-GB"/>
        </w:rPr>
        <w:t xml:space="preserve">She added that she was </w:t>
      </w:r>
      <w:r w:rsidRPr="004926B4">
        <w:rPr>
          <w:bCs/>
          <w:lang w:val="en-GB"/>
        </w:rPr>
        <w:t>further encouraged that the Finnish National Human Ri</w:t>
      </w:r>
      <w:r w:rsidR="001133B7">
        <w:rPr>
          <w:bCs/>
          <w:lang w:val="en-GB"/>
        </w:rPr>
        <w:t>ghts Institution, which included</w:t>
      </w:r>
      <w:r w:rsidRPr="004926B4">
        <w:rPr>
          <w:bCs/>
          <w:lang w:val="en-GB"/>
        </w:rPr>
        <w:t xml:space="preserve"> the Human Rights Centre, its Human Rights Delegation and the Parliame</w:t>
      </w:r>
      <w:r>
        <w:rPr>
          <w:bCs/>
          <w:lang w:val="en-GB"/>
        </w:rPr>
        <w:t>ntary Ombudsman, already focused</w:t>
      </w:r>
      <w:r w:rsidRPr="004926B4">
        <w:rPr>
          <w:bCs/>
          <w:lang w:val="en-GB"/>
        </w:rPr>
        <w:t xml:space="preserve"> on monitoring the human rights of older persons. </w:t>
      </w:r>
      <w:r>
        <w:rPr>
          <w:bCs/>
          <w:lang w:val="en-GB"/>
        </w:rPr>
        <w:t xml:space="preserve">She also learnt that </w:t>
      </w:r>
      <w:r w:rsidRPr="004926B4">
        <w:rPr>
          <w:bCs/>
          <w:lang w:val="en-GB"/>
        </w:rPr>
        <w:t>monitoring mechanisms during the Covid-19 pandemic including to institutions were in many instances</w:t>
      </w:r>
      <w:r>
        <w:rPr>
          <w:bCs/>
          <w:lang w:val="en-GB"/>
        </w:rPr>
        <w:t xml:space="preserve"> reduced or at a standstill (at</w:t>
      </w:r>
      <w:r w:rsidR="00C6532E">
        <w:rPr>
          <w:bCs/>
          <w:lang w:val="en-GB"/>
        </w:rPr>
        <w:t xml:space="preserve"> </w:t>
      </w:r>
      <w:hyperlink r:id="rId18" w:history="1">
        <w:r w:rsidR="00C6532E" w:rsidRPr="00C6532E">
          <w:rPr>
            <w:rStyle w:val="Hyperlink"/>
            <w:bCs/>
            <w:lang w:val="en-GB"/>
          </w:rPr>
          <w:t>https://www.ohchr.org/EN/NewsEvents/Pages/DisplayNews.aspx?NewsID=27765&amp;LangID=E</w:t>
        </w:r>
      </w:hyperlink>
      <w:r>
        <w:rPr>
          <w:bCs/>
          <w:lang w:val="en-GB"/>
        </w:rPr>
        <w:t>)</w:t>
      </w:r>
      <w:r w:rsidR="001133B7">
        <w:rPr>
          <w:bCs/>
          <w:lang w:val="en-GB"/>
        </w:rPr>
        <w:t>.</w:t>
      </w:r>
    </w:p>
    <w:p w14:paraId="53488779" w14:textId="539324A2" w:rsidR="001B7CA2" w:rsidRPr="001B7CA2" w:rsidRDefault="001B7CA2" w:rsidP="001B7CA2">
      <w:pPr>
        <w:rPr>
          <w:lang w:val="en-GB"/>
        </w:rPr>
      </w:pPr>
      <w:r w:rsidRPr="001B7CA2">
        <w:rPr>
          <w:i/>
          <w:iCs/>
          <w:lang w:val="en-GB"/>
        </w:rPr>
        <w:t xml:space="preserve"> </w:t>
      </w:r>
    </w:p>
    <w:p w14:paraId="6188EECA" w14:textId="690D7785" w:rsidR="001B7CA2" w:rsidRPr="001B7CA2" w:rsidRDefault="001B7CA2" w:rsidP="001B7CA2">
      <w:pPr>
        <w:rPr>
          <w:lang w:val="en-GB"/>
        </w:rPr>
      </w:pPr>
      <w:r w:rsidRPr="001B7CA2">
        <w:rPr>
          <w:b/>
          <w:bCs/>
          <w:i/>
          <w:iCs/>
          <w:lang w:val="en-GB"/>
        </w:rPr>
        <w:t xml:space="preserve">E. Initiatives to foster a rule of law culture </w:t>
      </w:r>
    </w:p>
    <w:p w14:paraId="203ECA1D" w14:textId="038635CF" w:rsidR="001B7CA2" w:rsidRPr="00031F61" w:rsidRDefault="001B7CA2" w:rsidP="001B7CA2">
      <w:pPr>
        <w:rPr>
          <w:lang w:val="en-US"/>
        </w:rPr>
      </w:pPr>
      <w:r w:rsidRPr="00031F61">
        <w:rPr>
          <w:b/>
          <w:bCs/>
          <w:i/>
          <w:iCs/>
          <w:lang w:val="en-US"/>
        </w:rPr>
        <w:t>Other – please specify</w:t>
      </w:r>
    </w:p>
    <w:p w14:paraId="2BB2DCBD" w14:textId="2CAD0808" w:rsidR="00E87A2E" w:rsidRPr="00031F61" w:rsidRDefault="00031F61" w:rsidP="00E87A2E">
      <w:pPr>
        <w:pStyle w:val="Header"/>
        <w:rPr>
          <w:b/>
          <w:lang w:val="en-US"/>
        </w:rPr>
      </w:pPr>
      <w:r w:rsidRPr="00031F61">
        <w:rPr>
          <w:b/>
          <w:lang w:val="en-US"/>
        </w:rPr>
        <w:t>Surveillance powers</w:t>
      </w:r>
    </w:p>
    <w:p w14:paraId="0519E8FC" w14:textId="77777777" w:rsidR="00031F61" w:rsidRDefault="00031F61" w:rsidP="00E87A2E">
      <w:pPr>
        <w:pStyle w:val="Header"/>
        <w:rPr>
          <w:lang w:val="en-US"/>
        </w:rPr>
      </w:pPr>
    </w:p>
    <w:p w14:paraId="6B297B43" w14:textId="61E133DF" w:rsidR="00E75F98" w:rsidRPr="00031F61" w:rsidRDefault="00031F61" w:rsidP="00031F61">
      <w:pPr>
        <w:jc w:val="both"/>
        <w:rPr>
          <w:rFonts w:eastAsia="Calibri" w:cstheme="minorHAnsi"/>
          <w:lang w:val="en-US"/>
        </w:rPr>
      </w:pPr>
      <w:r>
        <w:rPr>
          <w:rFonts w:cstheme="minorHAnsi"/>
          <w:lang w:val="en-US"/>
        </w:rPr>
        <w:t xml:space="preserve">In its 2021 concluding </w:t>
      </w:r>
      <w:r w:rsidR="001133B7">
        <w:rPr>
          <w:rFonts w:cstheme="minorHAnsi"/>
          <w:lang w:val="en-US"/>
        </w:rPr>
        <w:t>observations,</w:t>
      </w:r>
      <w:r>
        <w:rPr>
          <w:rFonts w:cstheme="minorHAnsi"/>
          <w:lang w:val="en-US"/>
        </w:rPr>
        <w:t xml:space="preserve"> the UN Human Rights Committee expressed concern</w:t>
      </w:r>
      <w:r w:rsidRPr="00031F61">
        <w:rPr>
          <w:rFonts w:cstheme="minorHAnsi"/>
          <w:lang w:val="en-US"/>
        </w:rPr>
        <w:t xml:space="preserve"> that the definitions of situations granting civilian and military surveillance, e.g., under the Police Act (No. 581/2019), may provide for overly broad powers of surveillance. While noting the existence of five intelligence oversight mechanisms in</w:t>
      </w:r>
      <w:r w:rsidR="001C04BF">
        <w:rPr>
          <w:rFonts w:cstheme="minorHAnsi"/>
          <w:lang w:val="en-US"/>
        </w:rPr>
        <w:t xml:space="preserve"> Finland</w:t>
      </w:r>
      <w:r w:rsidRPr="00031F61">
        <w:rPr>
          <w:rFonts w:cstheme="minorHAnsi"/>
          <w:lang w:val="en-US"/>
        </w:rPr>
        <w:t>, covering both civilian and military intelligence, including the newly established Intelligence Ombudsman and the Intelli</w:t>
      </w:r>
      <w:r w:rsidR="001133B7">
        <w:rPr>
          <w:rFonts w:cstheme="minorHAnsi"/>
          <w:lang w:val="en-US"/>
        </w:rPr>
        <w:t>gence Oversight Committee, it was</w:t>
      </w:r>
      <w:r w:rsidRPr="00031F61">
        <w:rPr>
          <w:rFonts w:cstheme="minorHAnsi"/>
          <w:lang w:val="en-US"/>
        </w:rPr>
        <w:t xml:space="preserve"> concerned that such a complex structure </w:t>
      </w:r>
      <w:r w:rsidR="00DB1126">
        <w:rPr>
          <w:rFonts w:cstheme="minorHAnsi"/>
          <w:lang w:val="en-US"/>
        </w:rPr>
        <w:t>could</w:t>
      </w:r>
      <w:r w:rsidRPr="00031F61">
        <w:rPr>
          <w:rFonts w:cstheme="minorHAnsi"/>
          <w:lang w:val="en-US"/>
        </w:rPr>
        <w:t xml:space="preserve"> undermine their effectiveness in safeguarding the </w:t>
      </w:r>
      <w:r w:rsidR="00F557CA">
        <w:rPr>
          <w:rFonts w:cstheme="minorHAnsi"/>
          <w:lang w:val="en-US"/>
        </w:rPr>
        <w:t>right to privacy</w:t>
      </w:r>
      <w:r w:rsidRPr="00031F61">
        <w:rPr>
          <w:rFonts w:cstheme="minorHAnsi"/>
          <w:lang w:val="en-US"/>
        </w:rPr>
        <w:t>.</w:t>
      </w:r>
      <w:r>
        <w:rPr>
          <w:rFonts w:cstheme="minorHAnsi"/>
          <w:lang w:val="en-US"/>
        </w:rPr>
        <w:t xml:space="preserve"> The Committee recommended that Finland ensure </w:t>
      </w:r>
      <w:r w:rsidR="001133B7">
        <w:rPr>
          <w:rFonts w:cstheme="minorHAnsi"/>
          <w:lang w:val="en-US"/>
        </w:rPr>
        <w:t>that: a</w:t>
      </w:r>
      <w:r w:rsidRPr="00031F61">
        <w:rPr>
          <w:rFonts w:cstheme="minorHAnsi"/>
          <w:lang w:val="en-US"/>
        </w:rPr>
        <w:t>ll types of surveillance activities and interference with privacy, both civilian and military, including online surveillance, interception of communications, access to communications data and retrieval of data, are governed by appropriate legislation t</w:t>
      </w:r>
      <w:r w:rsidR="00F557CA">
        <w:rPr>
          <w:rFonts w:cstheme="minorHAnsi"/>
          <w:lang w:val="en-US"/>
        </w:rPr>
        <w:t xml:space="preserve">hat conforms with the Covenant on  </w:t>
      </w:r>
      <w:r w:rsidR="00F557CA" w:rsidRPr="00F557CA">
        <w:rPr>
          <w:rFonts w:cstheme="minorHAnsi"/>
          <w:lang w:val="en-US"/>
        </w:rPr>
        <w:t>Civic and Political Rights</w:t>
      </w:r>
      <w:r w:rsidRPr="00F557CA">
        <w:rPr>
          <w:rFonts w:cstheme="minorHAnsi"/>
          <w:lang w:val="en-US"/>
        </w:rPr>
        <w:t>,</w:t>
      </w:r>
      <w:r w:rsidRPr="00031F61">
        <w:rPr>
          <w:rFonts w:cstheme="minorHAnsi"/>
          <w:lang w:val="en-US"/>
        </w:rPr>
        <w:t xml:space="preserve"> including with the principles </w:t>
      </w:r>
      <w:r w:rsidRPr="00031F61">
        <w:rPr>
          <w:rFonts w:cstheme="minorHAnsi"/>
          <w:lang w:val="en-US"/>
        </w:rPr>
        <w:lastRenderedPageBreak/>
        <w:t xml:space="preserve">of legality, proportionality and necessity; </w:t>
      </w:r>
      <w:r w:rsidR="001133B7">
        <w:rPr>
          <w:rFonts w:cstheme="minorHAnsi"/>
          <w:lang w:val="en-US"/>
        </w:rPr>
        <w:t>and that surveillance and interception were</w:t>
      </w:r>
      <w:r w:rsidRPr="00031F61">
        <w:rPr>
          <w:rFonts w:cstheme="minorHAnsi"/>
          <w:lang w:val="en-US"/>
        </w:rPr>
        <w:t xml:space="preserve"> conducted subject to judicial authorization and to effective and independent oversight mechanisms, an</w:t>
      </w:r>
      <w:r w:rsidR="001133B7">
        <w:rPr>
          <w:rFonts w:cstheme="minorHAnsi"/>
          <w:lang w:val="en-US"/>
        </w:rPr>
        <w:t>d that the persons affected had</w:t>
      </w:r>
      <w:r w:rsidRPr="00031F61">
        <w:rPr>
          <w:rFonts w:cstheme="minorHAnsi"/>
          <w:lang w:val="en-US"/>
        </w:rPr>
        <w:t xml:space="preserve"> proper access to effec</w:t>
      </w:r>
      <w:r>
        <w:rPr>
          <w:rFonts w:cstheme="minorHAnsi"/>
          <w:lang w:val="en-US"/>
        </w:rPr>
        <w:t>tive remedies in cases of abuse (</w:t>
      </w:r>
      <w:hyperlink r:id="rId19" w:history="1">
        <w:r w:rsidRPr="00F557CA">
          <w:rPr>
            <w:rStyle w:val="Hyperlink"/>
            <w:lang w:val="en-US"/>
          </w:rPr>
          <w:t>CCPR/C/FIN/CO/7</w:t>
        </w:r>
      </w:hyperlink>
      <w:r w:rsidR="00BB529D">
        <w:rPr>
          <w:lang w:val="en-US"/>
        </w:rPr>
        <w:t>, para</w:t>
      </w:r>
      <w:r w:rsidR="001133B7">
        <w:rPr>
          <w:lang w:val="en-US"/>
        </w:rPr>
        <w:t>s.</w:t>
      </w:r>
      <w:r>
        <w:rPr>
          <w:lang w:val="en-US"/>
        </w:rPr>
        <w:t xml:space="preserve"> 34</w:t>
      </w:r>
      <w:r w:rsidR="00F557CA">
        <w:rPr>
          <w:lang w:val="en-US"/>
        </w:rPr>
        <w:t xml:space="preserve"> </w:t>
      </w:r>
      <w:r>
        <w:rPr>
          <w:lang w:val="en-US"/>
        </w:rPr>
        <w:t>-</w:t>
      </w:r>
      <w:r w:rsidR="00F557CA">
        <w:rPr>
          <w:lang w:val="en-US"/>
        </w:rPr>
        <w:t xml:space="preserve"> </w:t>
      </w:r>
      <w:r>
        <w:rPr>
          <w:lang w:val="en-US"/>
        </w:rPr>
        <w:t>35).</w:t>
      </w:r>
    </w:p>
    <w:p w14:paraId="7B6D14DD" w14:textId="56F27A7C" w:rsid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20"/>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BE0DA" w14:textId="77777777" w:rsidR="000C2416" w:rsidRDefault="000C2416" w:rsidP="00AB6BD8">
      <w:pPr>
        <w:spacing w:after="0" w:line="240" w:lineRule="auto"/>
      </w:pPr>
      <w:r>
        <w:separator/>
      </w:r>
    </w:p>
  </w:endnote>
  <w:endnote w:type="continuationSeparator" w:id="0">
    <w:p w14:paraId="3E53356F" w14:textId="77777777" w:rsidR="000C2416" w:rsidRDefault="000C2416"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32AA3B63" w:rsidR="00ED7A10" w:rsidRDefault="00ED7A10">
        <w:pPr>
          <w:pStyle w:val="Footer"/>
          <w:jc w:val="center"/>
        </w:pPr>
        <w:r>
          <w:fldChar w:fldCharType="begin"/>
        </w:r>
        <w:r>
          <w:instrText>PAGE   \* MERGEFORMAT</w:instrText>
        </w:r>
        <w:r>
          <w:fldChar w:fldCharType="separate"/>
        </w:r>
        <w:r w:rsidR="00BA18FD" w:rsidRPr="00BA18FD">
          <w:rPr>
            <w:noProof/>
            <w:lang w:val="fr-FR"/>
          </w:rPr>
          <w:t>4</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1FA1B" w14:textId="77777777" w:rsidR="000C2416" w:rsidRDefault="000C2416" w:rsidP="00AB6BD8">
      <w:pPr>
        <w:spacing w:after="0" w:line="240" w:lineRule="auto"/>
      </w:pPr>
      <w:r>
        <w:separator/>
      </w:r>
    </w:p>
  </w:footnote>
  <w:footnote w:type="continuationSeparator" w:id="0">
    <w:p w14:paraId="19316C26" w14:textId="77777777" w:rsidR="000C2416" w:rsidRDefault="000C2416" w:rsidP="00AB6BD8">
      <w:pPr>
        <w:spacing w:after="0" w:line="240" w:lineRule="auto"/>
      </w:pPr>
      <w:r>
        <w:continuationSeparator/>
      </w:r>
    </w:p>
  </w:footnote>
  <w:footnote w:id="1">
    <w:p w14:paraId="21BBA9D9" w14:textId="4FC4106C" w:rsidR="00FF63C0" w:rsidRPr="00FF63C0" w:rsidRDefault="00FF63C0">
      <w:pPr>
        <w:pStyle w:val="FootnoteText"/>
      </w:pPr>
      <w:r>
        <w:rPr>
          <w:rStyle w:val="FootnoteReference"/>
        </w:rPr>
        <w:footnoteRef/>
      </w:r>
      <w:r>
        <w:t xml:space="preserve"> </w:t>
      </w:r>
      <w:proofErr w:type="spellStart"/>
      <w:r w:rsidRPr="00FF63C0">
        <w:rPr>
          <w:i/>
          <w:iCs/>
        </w:rPr>
        <w:t>Sanila-Aikio</w:t>
      </w:r>
      <w:proofErr w:type="spellEnd"/>
      <w:r w:rsidRPr="00FF63C0">
        <w:rPr>
          <w:i/>
          <w:iCs/>
        </w:rPr>
        <w:t xml:space="preserve"> v. </w:t>
      </w:r>
      <w:proofErr w:type="spellStart"/>
      <w:r w:rsidRPr="00FF63C0">
        <w:rPr>
          <w:i/>
          <w:iCs/>
        </w:rPr>
        <w:t>Finland</w:t>
      </w:r>
      <w:proofErr w:type="spellEnd"/>
      <w:r w:rsidRPr="00FF63C0">
        <w:t xml:space="preserve"> (CCPR/C/124/D/2668/2015) and </w:t>
      </w:r>
      <w:proofErr w:type="spellStart"/>
      <w:r w:rsidRPr="00FF63C0">
        <w:rPr>
          <w:i/>
          <w:iCs/>
        </w:rPr>
        <w:t>Käkkäläjärvi</w:t>
      </w:r>
      <w:proofErr w:type="spellEnd"/>
      <w:r w:rsidRPr="00FF63C0">
        <w:rPr>
          <w:i/>
          <w:iCs/>
        </w:rPr>
        <w:t xml:space="preserve"> et al. v. </w:t>
      </w:r>
      <w:proofErr w:type="spellStart"/>
      <w:r w:rsidRPr="00FF63C0">
        <w:rPr>
          <w:i/>
          <w:iCs/>
        </w:rPr>
        <w:t>Finland</w:t>
      </w:r>
      <w:proofErr w:type="spellEnd"/>
      <w:r w:rsidRPr="00FF63C0">
        <w:t xml:space="preserve"> (CCPR/C/124/D/2950/2017).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B992C05"/>
    <w:multiLevelType w:val="hybridMultilevel"/>
    <w:tmpl w:val="30605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4"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8" w15:restartNumberingAfterBreak="0">
    <w:nsid w:val="57B807BB"/>
    <w:multiLevelType w:val="hybridMultilevel"/>
    <w:tmpl w:val="65563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7"/>
  </w:num>
  <w:num w:numId="2">
    <w:abstractNumId w:val="13"/>
  </w:num>
  <w:num w:numId="3">
    <w:abstractNumId w:val="3"/>
  </w:num>
  <w:num w:numId="4">
    <w:abstractNumId w:val="2"/>
  </w:num>
  <w:num w:numId="5">
    <w:abstractNumId w:val="4"/>
  </w:num>
  <w:num w:numId="6">
    <w:abstractNumId w:val="6"/>
  </w:num>
  <w:num w:numId="7">
    <w:abstractNumId w:val="11"/>
  </w:num>
  <w:num w:numId="8">
    <w:abstractNumId w:val="10"/>
  </w:num>
  <w:num w:numId="9">
    <w:abstractNumId w:val="12"/>
  </w:num>
  <w:num w:numId="10">
    <w:abstractNumId w:val="5"/>
  </w:num>
  <w:num w:numId="11">
    <w:abstractNumId w:val="0"/>
  </w:num>
  <w:num w:numId="12">
    <w:abstractNumId w:val="9"/>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s-ES_tradnl"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fr-BE"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31F61"/>
    <w:rsid w:val="000367AD"/>
    <w:rsid w:val="00037298"/>
    <w:rsid w:val="000555C4"/>
    <w:rsid w:val="00094650"/>
    <w:rsid w:val="000B034D"/>
    <w:rsid w:val="000C2416"/>
    <w:rsid w:val="000D06BF"/>
    <w:rsid w:val="000D669C"/>
    <w:rsid w:val="000D7F40"/>
    <w:rsid w:val="000E3E0A"/>
    <w:rsid w:val="000E4ACA"/>
    <w:rsid w:val="000E4D1E"/>
    <w:rsid w:val="000E58CC"/>
    <w:rsid w:val="000F7447"/>
    <w:rsid w:val="000F74F4"/>
    <w:rsid w:val="00102288"/>
    <w:rsid w:val="001133B7"/>
    <w:rsid w:val="001150AE"/>
    <w:rsid w:val="00125B2C"/>
    <w:rsid w:val="00137F92"/>
    <w:rsid w:val="00144770"/>
    <w:rsid w:val="00147BF9"/>
    <w:rsid w:val="0015004A"/>
    <w:rsid w:val="00152098"/>
    <w:rsid w:val="00165AFF"/>
    <w:rsid w:val="00170646"/>
    <w:rsid w:val="001868E0"/>
    <w:rsid w:val="00195595"/>
    <w:rsid w:val="001A17C6"/>
    <w:rsid w:val="001A2CB5"/>
    <w:rsid w:val="001B7CA2"/>
    <w:rsid w:val="001C04BF"/>
    <w:rsid w:val="001C79A2"/>
    <w:rsid w:val="001C7CCF"/>
    <w:rsid w:val="001E08DC"/>
    <w:rsid w:val="001E0C79"/>
    <w:rsid w:val="001E2105"/>
    <w:rsid w:val="001F10B5"/>
    <w:rsid w:val="002057FA"/>
    <w:rsid w:val="00206A47"/>
    <w:rsid w:val="00221C79"/>
    <w:rsid w:val="00231F28"/>
    <w:rsid w:val="00235A91"/>
    <w:rsid w:val="0024080C"/>
    <w:rsid w:val="00241D5C"/>
    <w:rsid w:val="002430D2"/>
    <w:rsid w:val="0024664D"/>
    <w:rsid w:val="00251082"/>
    <w:rsid w:val="00252C8E"/>
    <w:rsid w:val="00262F70"/>
    <w:rsid w:val="0026604A"/>
    <w:rsid w:val="002668EA"/>
    <w:rsid w:val="00275AE3"/>
    <w:rsid w:val="00293C29"/>
    <w:rsid w:val="00294805"/>
    <w:rsid w:val="002953FF"/>
    <w:rsid w:val="002969C5"/>
    <w:rsid w:val="002A076C"/>
    <w:rsid w:val="002C15AB"/>
    <w:rsid w:val="002C4AD7"/>
    <w:rsid w:val="002D1023"/>
    <w:rsid w:val="002D45D1"/>
    <w:rsid w:val="002F0090"/>
    <w:rsid w:val="0030165D"/>
    <w:rsid w:val="0030486E"/>
    <w:rsid w:val="00306496"/>
    <w:rsid w:val="00334386"/>
    <w:rsid w:val="00346F49"/>
    <w:rsid w:val="003619BB"/>
    <w:rsid w:val="00364DD8"/>
    <w:rsid w:val="00383787"/>
    <w:rsid w:val="003843E1"/>
    <w:rsid w:val="0038485A"/>
    <w:rsid w:val="003B4F07"/>
    <w:rsid w:val="003D7999"/>
    <w:rsid w:val="003F19B1"/>
    <w:rsid w:val="00405880"/>
    <w:rsid w:val="00445679"/>
    <w:rsid w:val="00447DF5"/>
    <w:rsid w:val="00451BE5"/>
    <w:rsid w:val="00462100"/>
    <w:rsid w:val="004809CC"/>
    <w:rsid w:val="00491A44"/>
    <w:rsid w:val="004926B4"/>
    <w:rsid w:val="004A0573"/>
    <w:rsid w:val="004A4D25"/>
    <w:rsid w:val="004B60DD"/>
    <w:rsid w:val="004C0B1F"/>
    <w:rsid w:val="004C57AC"/>
    <w:rsid w:val="004C6D46"/>
    <w:rsid w:val="004D10E9"/>
    <w:rsid w:val="004E2A0C"/>
    <w:rsid w:val="004E5D2F"/>
    <w:rsid w:val="005078D2"/>
    <w:rsid w:val="00511DEF"/>
    <w:rsid w:val="00521BE8"/>
    <w:rsid w:val="00524CA2"/>
    <w:rsid w:val="00561741"/>
    <w:rsid w:val="00570B68"/>
    <w:rsid w:val="00572CAC"/>
    <w:rsid w:val="00572D29"/>
    <w:rsid w:val="00576122"/>
    <w:rsid w:val="005844EA"/>
    <w:rsid w:val="00592F7B"/>
    <w:rsid w:val="005936DA"/>
    <w:rsid w:val="00595A34"/>
    <w:rsid w:val="005A1420"/>
    <w:rsid w:val="005A53B1"/>
    <w:rsid w:val="005A6F8C"/>
    <w:rsid w:val="005C140F"/>
    <w:rsid w:val="005C4199"/>
    <w:rsid w:val="00600F16"/>
    <w:rsid w:val="0061181D"/>
    <w:rsid w:val="00621476"/>
    <w:rsid w:val="00633DEB"/>
    <w:rsid w:val="0064596A"/>
    <w:rsid w:val="0065049C"/>
    <w:rsid w:val="00656276"/>
    <w:rsid w:val="0066480F"/>
    <w:rsid w:val="00685142"/>
    <w:rsid w:val="00694C36"/>
    <w:rsid w:val="00695C0F"/>
    <w:rsid w:val="006B2EEF"/>
    <w:rsid w:val="006F10BF"/>
    <w:rsid w:val="00705FDC"/>
    <w:rsid w:val="00726393"/>
    <w:rsid w:val="0074007C"/>
    <w:rsid w:val="007467E2"/>
    <w:rsid w:val="00753FA0"/>
    <w:rsid w:val="00754304"/>
    <w:rsid w:val="007853A8"/>
    <w:rsid w:val="0079724B"/>
    <w:rsid w:val="007D7490"/>
    <w:rsid w:val="007F1F30"/>
    <w:rsid w:val="007F529E"/>
    <w:rsid w:val="0080379C"/>
    <w:rsid w:val="00812CA6"/>
    <w:rsid w:val="00815599"/>
    <w:rsid w:val="00820269"/>
    <w:rsid w:val="00824724"/>
    <w:rsid w:val="008346F3"/>
    <w:rsid w:val="0083739F"/>
    <w:rsid w:val="008526FE"/>
    <w:rsid w:val="008628EF"/>
    <w:rsid w:val="00867498"/>
    <w:rsid w:val="00867CBB"/>
    <w:rsid w:val="0088139C"/>
    <w:rsid w:val="00887E4C"/>
    <w:rsid w:val="008A1B74"/>
    <w:rsid w:val="008A7229"/>
    <w:rsid w:val="008B50CB"/>
    <w:rsid w:val="008B5DE9"/>
    <w:rsid w:val="008C3B50"/>
    <w:rsid w:val="008C4411"/>
    <w:rsid w:val="008C7A94"/>
    <w:rsid w:val="008D7F8C"/>
    <w:rsid w:val="008E129A"/>
    <w:rsid w:val="008E1395"/>
    <w:rsid w:val="008E230A"/>
    <w:rsid w:val="008E4FD7"/>
    <w:rsid w:val="008E537C"/>
    <w:rsid w:val="008E78D4"/>
    <w:rsid w:val="008F5F0F"/>
    <w:rsid w:val="008F689A"/>
    <w:rsid w:val="009143DB"/>
    <w:rsid w:val="00916B8E"/>
    <w:rsid w:val="00923EBE"/>
    <w:rsid w:val="00942119"/>
    <w:rsid w:val="009441AD"/>
    <w:rsid w:val="009458EB"/>
    <w:rsid w:val="00951DEB"/>
    <w:rsid w:val="00962913"/>
    <w:rsid w:val="0096772C"/>
    <w:rsid w:val="00981F9D"/>
    <w:rsid w:val="00991323"/>
    <w:rsid w:val="00997215"/>
    <w:rsid w:val="009C040C"/>
    <w:rsid w:val="009C6B9F"/>
    <w:rsid w:val="009D1508"/>
    <w:rsid w:val="009E3076"/>
    <w:rsid w:val="009E48E9"/>
    <w:rsid w:val="009E7D1D"/>
    <w:rsid w:val="00A1060B"/>
    <w:rsid w:val="00A118BB"/>
    <w:rsid w:val="00A2011E"/>
    <w:rsid w:val="00A33884"/>
    <w:rsid w:val="00A42B89"/>
    <w:rsid w:val="00A67319"/>
    <w:rsid w:val="00A8576F"/>
    <w:rsid w:val="00A95DE7"/>
    <w:rsid w:val="00AB39DD"/>
    <w:rsid w:val="00AB4073"/>
    <w:rsid w:val="00AB6BD8"/>
    <w:rsid w:val="00AD14BD"/>
    <w:rsid w:val="00AD5BC2"/>
    <w:rsid w:val="00AE0FA1"/>
    <w:rsid w:val="00AE13F5"/>
    <w:rsid w:val="00AF33F6"/>
    <w:rsid w:val="00AF4734"/>
    <w:rsid w:val="00AF6778"/>
    <w:rsid w:val="00B06121"/>
    <w:rsid w:val="00B1077E"/>
    <w:rsid w:val="00B3376B"/>
    <w:rsid w:val="00B4482C"/>
    <w:rsid w:val="00B54E3F"/>
    <w:rsid w:val="00B669A0"/>
    <w:rsid w:val="00B6701F"/>
    <w:rsid w:val="00B837B5"/>
    <w:rsid w:val="00B8626C"/>
    <w:rsid w:val="00B92E78"/>
    <w:rsid w:val="00B94426"/>
    <w:rsid w:val="00BA18FD"/>
    <w:rsid w:val="00BB529D"/>
    <w:rsid w:val="00BB67D7"/>
    <w:rsid w:val="00BC1D9A"/>
    <w:rsid w:val="00BF199A"/>
    <w:rsid w:val="00C0361D"/>
    <w:rsid w:val="00C05C98"/>
    <w:rsid w:val="00C206C5"/>
    <w:rsid w:val="00C20C47"/>
    <w:rsid w:val="00C21B69"/>
    <w:rsid w:val="00C25048"/>
    <w:rsid w:val="00C34944"/>
    <w:rsid w:val="00C357C2"/>
    <w:rsid w:val="00C46DCD"/>
    <w:rsid w:val="00C5007B"/>
    <w:rsid w:val="00C6532E"/>
    <w:rsid w:val="00C91D1B"/>
    <w:rsid w:val="00C92DD5"/>
    <w:rsid w:val="00CB14D8"/>
    <w:rsid w:val="00CB73BB"/>
    <w:rsid w:val="00CC6B37"/>
    <w:rsid w:val="00CD1815"/>
    <w:rsid w:val="00CD7A88"/>
    <w:rsid w:val="00CE4C75"/>
    <w:rsid w:val="00CF6020"/>
    <w:rsid w:val="00CF698C"/>
    <w:rsid w:val="00D002BC"/>
    <w:rsid w:val="00D027D9"/>
    <w:rsid w:val="00D029D9"/>
    <w:rsid w:val="00D17788"/>
    <w:rsid w:val="00D332F8"/>
    <w:rsid w:val="00D6657B"/>
    <w:rsid w:val="00D76481"/>
    <w:rsid w:val="00D776C3"/>
    <w:rsid w:val="00D8059F"/>
    <w:rsid w:val="00D83F44"/>
    <w:rsid w:val="00D848D8"/>
    <w:rsid w:val="00D87626"/>
    <w:rsid w:val="00D91F68"/>
    <w:rsid w:val="00DA1E47"/>
    <w:rsid w:val="00DA2342"/>
    <w:rsid w:val="00DB1126"/>
    <w:rsid w:val="00DC04CC"/>
    <w:rsid w:val="00DC2228"/>
    <w:rsid w:val="00DC36E4"/>
    <w:rsid w:val="00DC46BA"/>
    <w:rsid w:val="00DC49B7"/>
    <w:rsid w:val="00DC51FC"/>
    <w:rsid w:val="00DC5B32"/>
    <w:rsid w:val="00DD1A75"/>
    <w:rsid w:val="00DD51BC"/>
    <w:rsid w:val="00DE2240"/>
    <w:rsid w:val="00DE586C"/>
    <w:rsid w:val="00DF181A"/>
    <w:rsid w:val="00E14E2A"/>
    <w:rsid w:val="00E33076"/>
    <w:rsid w:val="00E44CD6"/>
    <w:rsid w:val="00E70E81"/>
    <w:rsid w:val="00E7390A"/>
    <w:rsid w:val="00E7579B"/>
    <w:rsid w:val="00E75F98"/>
    <w:rsid w:val="00E85BC4"/>
    <w:rsid w:val="00E87A2E"/>
    <w:rsid w:val="00E92C99"/>
    <w:rsid w:val="00E943EC"/>
    <w:rsid w:val="00EA5201"/>
    <w:rsid w:val="00EB0581"/>
    <w:rsid w:val="00ED5335"/>
    <w:rsid w:val="00ED7A10"/>
    <w:rsid w:val="00EE54B6"/>
    <w:rsid w:val="00EE6A52"/>
    <w:rsid w:val="00EF0DAD"/>
    <w:rsid w:val="00EF2BDF"/>
    <w:rsid w:val="00EF36D6"/>
    <w:rsid w:val="00EF4DF8"/>
    <w:rsid w:val="00F10DEE"/>
    <w:rsid w:val="00F464F2"/>
    <w:rsid w:val="00F557CA"/>
    <w:rsid w:val="00F7169C"/>
    <w:rsid w:val="00F7351E"/>
    <w:rsid w:val="00F767DF"/>
    <w:rsid w:val="00F7725E"/>
    <w:rsid w:val="00F927B2"/>
    <w:rsid w:val="00FA240B"/>
    <w:rsid w:val="00FB5067"/>
    <w:rsid w:val="00FE1807"/>
    <w:rsid w:val="00FF410C"/>
    <w:rsid w:val="00FF5A3B"/>
    <w:rsid w:val="00FF63C0"/>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paragraph" w:styleId="Heading3">
    <w:name w:val="heading 3"/>
    <w:basedOn w:val="Normal"/>
    <w:link w:val="Heading3Char"/>
    <w:uiPriority w:val="9"/>
    <w:qFormat/>
    <w:rsid w:val="008346F3"/>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customStyle="1" w:styleId="Heading3Char">
    <w:name w:val="Heading 3 Char"/>
    <w:basedOn w:val="DefaultParagraphFont"/>
    <w:link w:val="Heading3"/>
    <w:uiPriority w:val="9"/>
    <w:rsid w:val="008346F3"/>
    <w:rPr>
      <w:rFonts w:ascii="Times New Roman" w:eastAsia="Times New Roman" w:hAnsi="Times New Roman" w:cs="Times New Roman"/>
      <w:b/>
      <w:bCs/>
      <w:sz w:val="27"/>
      <w:szCs w:val="27"/>
      <w:lang w:val="en-GB" w:eastAsia="en-GB"/>
    </w:rPr>
  </w:style>
  <w:style w:type="paragraph" w:styleId="Revision">
    <w:name w:val="Revision"/>
    <w:hidden/>
    <w:uiPriority w:val="99"/>
    <w:semiHidden/>
    <w:rsid w:val="00BB52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303315397">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475101755">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565067763">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34230792">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8637399">
      <w:bodyDiv w:val="1"/>
      <w:marLeft w:val="0"/>
      <w:marRight w:val="0"/>
      <w:marTop w:val="0"/>
      <w:marBottom w:val="0"/>
      <w:divBdr>
        <w:top w:val="none" w:sz="0" w:space="0" w:color="auto"/>
        <w:left w:val="none" w:sz="0" w:space="0" w:color="auto"/>
        <w:bottom w:val="none" w:sz="0" w:space="0" w:color="auto"/>
        <w:right w:val="none" w:sz="0" w:space="0" w:color="auto"/>
      </w:divBdr>
    </w:div>
    <w:div w:id="203267825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binternet.ohchr.org/Treaties/CESCR/Shared%20Documents/FIN/E_C-12_FIN_CO_7_44506_E.docx" TargetMode="External"/><Relationship Id="rId18" Type="http://schemas.openxmlformats.org/officeDocument/2006/relationships/hyperlink" Target="https://www.ohchr.org/EN/NewsEvents/Pages/DisplayNews.aspx?NewsID=27765&amp;LangI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tbinternet.ohchr.org/_layouts/15/treatybodyexternal/Download.aspx?symbolno=CCPR/C/FIN/CO/7&amp;Lang=En" TargetMode="External"/><Relationship Id="rId17" Type="http://schemas.openxmlformats.org/officeDocument/2006/relationships/hyperlink" Target="https://tbinternet.ohchr.org/_layouts/15/treatybodyexternal/Download.aspx?symbolno=CCPR/C/FIN/CO/7&amp;Lang=En" TargetMode="External"/><Relationship Id="rId2" Type="http://schemas.openxmlformats.org/officeDocument/2006/relationships/customXml" Target="../customXml/item2.xml"/><Relationship Id="rId16" Type="http://schemas.openxmlformats.org/officeDocument/2006/relationships/hyperlink" Target="https://undocs.org/A/HRC/47/3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binternet.ohchr.org/_layouts/15/treatybodyexternal/Download.aspx?symbolno=CCPR/C/FIN/CO/7&amp;Lang=En" TargetMode="External"/><Relationship Id="rId5" Type="http://schemas.openxmlformats.org/officeDocument/2006/relationships/numbering" Target="numbering.xml"/><Relationship Id="rId15" Type="http://schemas.openxmlformats.org/officeDocument/2006/relationships/hyperlink" Target="https://tbinternet.ohchr.org/_layouts/15/treatybodyexternal/Download.aspx?symbolno=CCPR/C/FIN/CO/7&amp;Lang=En" TargetMode="External"/><Relationship Id="rId10" Type="http://schemas.openxmlformats.org/officeDocument/2006/relationships/endnotes" Target="endnotes.xml"/><Relationship Id="rId19" Type="http://schemas.openxmlformats.org/officeDocument/2006/relationships/hyperlink" Target="https://tbinternet.ohchr.org/_layouts/15/treatybodyexternal/Download.aspx?symbolno=CCPR/C/FIN/CO/7&amp;Lang=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binternet.ohchr.org/_layouts/15/treatybodyexternal/Download.aspx?symbolno=CCPR/C/FIN/CO/7&amp;Lang=En"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A8AC42923E4B4689AA3F4BC71C9076" ma:contentTypeVersion="4" ma:contentTypeDescription="Create a new document." ma:contentTypeScope="" ma:versionID="04aa836d353562bbcb888e99e93cbc98">
  <xsd:schema xmlns:xsd="http://www.w3.org/2001/XMLSchema" xmlns:xs="http://www.w3.org/2001/XMLSchema" xmlns:p="http://schemas.microsoft.com/office/2006/metadata/properties" xmlns:ns2="9e7a892e-3f44-4f43-afda-1bb9b87abd5a" targetNamespace="http://schemas.microsoft.com/office/2006/metadata/properties" ma:root="true" ma:fieldsID="261ed7d34d42a9ca5a60cca5a534e22c" ns2:_="">
    <xsd:import namespace="9e7a892e-3f44-4f43-afda-1bb9b87abd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a892e-3f44-4f43-afda-1bb9b87abd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60630-6448-48D7-9295-02C510FF2DD3}">
  <ds:schemaRefs>
    <ds:schemaRef ds:uri="http://schemas.microsoft.com/sharepoint/v3/contenttype/forms"/>
  </ds:schemaRefs>
</ds:datastoreItem>
</file>

<file path=customXml/itemProps2.xml><?xml version="1.0" encoding="utf-8"?>
<ds:datastoreItem xmlns:ds="http://schemas.openxmlformats.org/officeDocument/2006/customXml" ds:itemID="{33FD0B9C-FF4B-404E-B546-C6EC47A57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a892e-3f44-4f43-afda-1bb9b87abd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B76E1-1990-4DD1-B25E-6A1D3443BB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30C304-BB90-4AB9-859C-1024DBAC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1808</Words>
  <Characters>10311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5</cp:revision>
  <dcterms:created xsi:type="dcterms:W3CDTF">2022-02-03T17:56:00Z</dcterms:created>
  <dcterms:modified xsi:type="dcterms:W3CDTF">2022-02-07T15:57:00Z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0x01010037A8AC42923E4B4689AA3F4BC71C9076</vt:lpwstr>
  </property>
</Properties>
</file>